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9CA" w14:textId="77777777" w:rsidR="009C1664" w:rsidRDefault="00BF58E8">
      <w:pPr>
        <w:shd w:val="clear" w:color="auto" w:fill="FFFFFF"/>
        <w:jc w:val="center"/>
        <w:rPr>
          <w:b/>
          <w:color w:val="222222"/>
          <w:sz w:val="20"/>
          <w:szCs w:val="20"/>
        </w:rPr>
      </w:pPr>
      <w:r>
        <w:rPr>
          <w:b/>
          <w:noProof/>
          <w:color w:val="222222"/>
          <w:sz w:val="20"/>
          <w:szCs w:val="20"/>
          <w:lang w:val="en-CA"/>
        </w:rPr>
        <w:drawing>
          <wp:inline distT="114300" distB="114300" distL="114300" distR="114300" wp14:anchorId="5D682FFC" wp14:editId="0105C020">
            <wp:extent cx="5743575" cy="98617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743575" cy="986178"/>
                    </a:xfrm>
                    <a:prstGeom prst="rect">
                      <a:avLst/>
                    </a:prstGeom>
                    <a:ln/>
                  </pic:spPr>
                </pic:pic>
              </a:graphicData>
            </a:graphic>
          </wp:inline>
        </w:drawing>
      </w:r>
      <w:r>
        <w:rPr>
          <w:b/>
          <w:color w:val="222222"/>
          <w:sz w:val="20"/>
          <w:szCs w:val="20"/>
        </w:rPr>
        <w:br/>
      </w:r>
      <w:r>
        <w:rPr>
          <w:b/>
          <w:color w:val="222222"/>
          <w:sz w:val="20"/>
          <w:szCs w:val="20"/>
        </w:rPr>
        <w:br/>
        <w:t>HI HO SILVER RESOURCES INC.</w:t>
      </w:r>
    </w:p>
    <w:p w14:paraId="41BC7DDA" w14:textId="77777777" w:rsidR="009C1664" w:rsidRDefault="009C1664">
      <w:pPr>
        <w:shd w:val="clear" w:color="auto" w:fill="FFFFFF"/>
        <w:jc w:val="center"/>
        <w:rPr>
          <w:b/>
          <w:color w:val="222222"/>
          <w:sz w:val="20"/>
          <w:szCs w:val="20"/>
        </w:rPr>
      </w:pPr>
    </w:p>
    <w:p w14:paraId="7734FB5E" w14:textId="77777777" w:rsidR="009C1664" w:rsidRDefault="00BF58E8">
      <w:pPr>
        <w:shd w:val="clear" w:color="auto" w:fill="FFFFFF"/>
        <w:jc w:val="center"/>
        <w:rPr>
          <w:b/>
          <w:color w:val="222222"/>
          <w:sz w:val="20"/>
          <w:szCs w:val="20"/>
        </w:rPr>
      </w:pPr>
      <w:r>
        <w:rPr>
          <w:b/>
          <w:color w:val="222222"/>
          <w:sz w:val="20"/>
          <w:szCs w:val="20"/>
        </w:rPr>
        <w:t>FOR IMMEDIATE RELEASE</w:t>
      </w:r>
    </w:p>
    <w:p w14:paraId="469C49EC" w14:textId="77777777" w:rsidR="009C1664" w:rsidRDefault="009C1664">
      <w:pPr>
        <w:shd w:val="clear" w:color="auto" w:fill="FFFFFF"/>
        <w:jc w:val="center"/>
        <w:rPr>
          <w:b/>
          <w:color w:val="222222"/>
          <w:sz w:val="20"/>
          <w:szCs w:val="20"/>
        </w:rPr>
      </w:pPr>
    </w:p>
    <w:p w14:paraId="74CCB77A" w14:textId="2E6479A6" w:rsidR="009C1664" w:rsidRPr="005B5094" w:rsidRDefault="738EF679" w:rsidP="738EF679">
      <w:pPr>
        <w:shd w:val="clear" w:color="auto" w:fill="FFFFFF" w:themeFill="background1"/>
        <w:jc w:val="center"/>
        <w:rPr>
          <w:b/>
          <w:bCs/>
          <w:color w:val="222222"/>
          <w:sz w:val="20"/>
          <w:szCs w:val="20"/>
        </w:rPr>
      </w:pPr>
      <w:r w:rsidRPr="738EF679">
        <w:rPr>
          <w:b/>
          <w:bCs/>
          <w:color w:val="222222"/>
          <w:sz w:val="20"/>
          <w:szCs w:val="20"/>
        </w:rPr>
        <w:t xml:space="preserve">HI HO SILVER RESOURCES </w:t>
      </w:r>
      <w:r w:rsidR="00753496">
        <w:rPr>
          <w:b/>
          <w:bCs/>
          <w:color w:val="222222"/>
          <w:sz w:val="20"/>
          <w:szCs w:val="20"/>
        </w:rPr>
        <w:t>ANNOUNCES MINERAL TENURE OPTION AND SALE AGREEMENT</w:t>
      </w:r>
    </w:p>
    <w:p w14:paraId="6CA7ADDE" w14:textId="77777777" w:rsidR="009C1664" w:rsidRPr="00000AFB" w:rsidRDefault="009C1664">
      <w:pPr>
        <w:shd w:val="clear" w:color="auto" w:fill="FFFFFF"/>
        <w:rPr>
          <w:b/>
          <w:color w:val="222222"/>
          <w:sz w:val="20"/>
          <w:szCs w:val="20"/>
        </w:rPr>
      </w:pPr>
    </w:p>
    <w:p w14:paraId="5669B852" w14:textId="31DBB020" w:rsidR="00753496" w:rsidRPr="00000AFB" w:rsidRDefault="13BB09DA" w:rsidP="0056770A">
      <w:pPr>
        <w:rPr>
          <w:sz w:val="20"/>
          <w:szCs w:val="20"/>
        </w:rPr>
      </w:pPr>
      <w:r w:rsidRPr="00000AFB">
        <w:rPr>
          <w:b/>
          <w:bCs/>
          <w:sz w:val="20"/>
          <w:szCs w:val="20"/>
        </w:rPr>
        <w:t>Vancouver, Ju</w:t>
      </w:r>
      <w:r w:rsidR="00753496" w:rsidRPr="00000AFB">
        <w:rPr>
          <w:b/>
          <w:bCs/>
          <w:sz w:val="20"/>
          <w:szCs w:val="20"/>
        </w:rPr>
        <w:t xml:space="preserve">ly </w:t>
      </w:r>
      <w:r w:rsidR="00FB3210" w:rsidRPr="00000AFB">
        <w:rPr>
          <w:b/>
          <w:bCs/>
          <w:sz w:val="20"/>
          <w:szCs w:val="20"/>
        </w:rPr>
        <w:t>10</w:t>
      </w:r>
      <w:r w:rsidRPr="00000AFB">
        <w:rPr>
          <w:b/>
          <w:bCs/>
          <w:sz w:val="20"/>
          <w:szCs w:val="20"/>
        </w:rPr>
        <w:t>, 2018</w:t>
      </w:r>
      <w:r w:rsidRPr="00000AFB">
        <w:rPr>
          <w:sz w:val="20"/>
          <w:szCs w:val="20"/>
        </w:rPr>
        <w:t>.  Hi Ho Silver Resources Inc. (“Hi Ho” or the “Company”) (HHS - CSE; HHSRF – OTC; Stuttgart – H9) is pleased to announce that the Company</w:t>
      </w:r>
      <w:r w:rsidR="00753496" w:rsidRPr="00000AFB">
        <w:rPr>
          <w:sz w:val="20"/>
          <w:szCs w:val="20"/>
        </w:rPr>
        <w:t xml:space="preserve"> has granted an option and sales agreement to 1150892 B.C. Ltd. for the Fairview Gold Tenures owned by Hi Ho and located in the </w:t>
      </w:r>
      <w:proofErr w:type="spellStart"/>
      <w:r w:rsidR="00753496" w:rsidRPr="00000AFB">
        <w:rPr>
          <w:sz w:val="20"/>
          <w:szCs w:val="20"/>
        </w:rPr>
        <w:t>Osoyoos</w:t>
      </w:r>
      <w:proofErr w:type="spellEnd"/>
      <w:r w:rsidR="00753496" w:rsidRPr="00000AFB">
        <w:rPr>
          <w:sz w:val="20"/>
          <w:szCs w:val="20"/>
        </w:rPr>
        <w:t xml:space="preserve"> Mining District.</w:t>
      </w:r>
    </w:p>
    <w:p w14:paraId="4562E054" w14:textId="7D44E362" w:rsidR="00753496" w:rsidRPr="00000AFB" w:rsidRDefault="00753496" w:rsidP="0056770A">
      <w:pPr>
        <w:rPr>
          <w:sz w:val="20"/>
          <w:szCs w:val="20"/>
        </w:rPr>
      </w:pPr>
    </w:p>
    <w:p w14:paraId="56D423E1" w14:textId="0583590D" w:rsidR="00753496" w:rsidRPr="00000AFB" w:rsidRDefault="00753496" w:rsidP="0056770A">
      <w:pPr>
        <w:rPr>
          <w:sz w:val="20"/>
          <w:szCs w:val="20"/>
        </w:rPr>
      </w:pPr>
      <w:proofErr w:type="gramStart"/>
      <w:r w:rsidRPr="00000AFB">
        <w:rPr>
          <w:sz w:val="20"/>
          <w:szCs w:val="20"/>
        </w:rPr>
        <w:t>Hi Ho</w:t>
      </w:r>
      <w:proofErr w:type="gramEnd"/>
      <w:r w:rsidRPr="00000AFB">
        <w:rPr>
          <w:sz w:val="20"/>
          <w:szCs w:val="20"/>
        </w:rPr>
        <w:t xml:space="preserve"> will receive $1,500,000 for the </w:t>
      </w:r>
      <w:r w:rsidR="00CA63ED" w:rsidRPr="00000AFB">
        <w:rPr>
          <w:sz w:val="20"/>
          <w:szCs w:val="20"/>
        </w:rPr>
        <w:t>“o</w:t>
      </w:r>
      <w:r w:rsidRPr="00000AFB">
        <w:rPr>
          <w:sz w:val="20"/>
          <w:szCs w:val="20"/>
        </w:rPr>
        <w:t>ption</w:t>
      </w:r>
      <w:r w:rsidR="00CA63ED" w:rsidRPr="00000AFB">
        <w:rPr>
          <w:sz w:val="20"/>
          <w:szCs w:val="20"/>
        </w:rPr>
        <w:t>” portion of the agreement</w:t>
      </w:r>
      <w:r w:rsidR="00FB3210" w:rsidRPr="00000AFB">
        <w:rPr>
          <w:sz w:val="20"/>
          <w:szCs w:val="20"/>
        </w:rPr>
        <w:t xml:space="preserve">, under which </w:t>
      </w:r>
      <w:r w:rsidR="00FB3210" w:rsidRPr="00000AFB">
        <w:rPr>
          <w:sz w:val="20"/>
          <w:szCs w:val="20"/>
        </w:rPr>
        <w:t xml:space="preserve">upon exercise of the </w:t>
      </w:r>
      <w:r w:rsidR="00FB3210" w:rsidRPr="00000AFB">
        <w:rPr>
          <w:sz w:val="20"/>
          <w:szCs w:val="20"/>
        </w:rPr>
        <w:t xml:space="preserve">option </w:t>
      </w:r>
      <w:r w:rsidR="00CA63ED" w:rsidRPr="00000AFB">
        <w:rPr>
          <w:sz w:val="20"/>
          <w:szCs w:val="20"/>
        </w:rPr>
        <w:t>1150892 B.C. Ltd. will receive 75% ownership and Hi Ho will retain 25% ownership in a Joint Venture.  1150892 B.C. Ltd. has a further sales option to purchase the remaining 25% for an additional $1,000,000</w:t>
      </w:r>
      <w:r w:rsidR="00FB3210" w:rsidRPr="00000AFB">
        <w:rPr>
          <w:sz w:val="20"/>
          <w:szCs w:val="20"/>
        </w:rPr>
        <w:t>,</w:t>
      </w:r>
      <w:r w:rsidR="00CA63ED" w:rsidRPr="00000AFB">
        <w:rPr>
          <w:sz w:val="20"/>
          <w:szCs w:val="20"/>
        </w:rPr>
        <w:t xml:space="preserve"> 500,000 common shares of 1150892 B.C. Ltd. </w:t>
      </w:r>
      <w:r w:rsidR="00FB3210" w:rsidRPr="00000AFB">
        <w:rPr>
          <w:sz w:val="20"/>
          <w:szCs w:val="20"/>
        </w:rPr>
        <w:t xml:space="preserve">and </w:t>
      </w:r>
      <w:r w:rsidR="00CA63ED" w:rsidRPr="00000AFB">
        <w:rPr>
          <w:sz w:val="20"/>
          <w:szCs w:val="20"/>
        </w:rPr>
        <w:t>a net smelter reserve (NSR) of 3%.</w:t>
      </w:r>
    </w:p>
    <w:p w14:paraId="1AFBF7E7" w14:textId="4F622AE4" w:rsidR="00FB3210" w:rsidRPr="00000AFB" w:rsidRDefault="00FB3210" w:rsidP="0056770A">
      <w:pPr>
        <w:rPr>
          <w:sz w:val="20"/>
          <w:szCs w:val="20"/>
        </w:rPr>
      </w:pPr>
    </w:p>
    <w:p w14:paraId="4FA35205" w14:textId="77777777" w:rsidR="00FB3210" w:rsidRPr="00000AFB" w:rsidRDefault="00FB3210" w:rsidP="00FB3210">
      <w:pPr>
        <w:rPr>
          <w:sz w:val="20"/>
          <w:szCs w:val="20"/>
          <w:lang w:val="en-CA"/>
        </w:rPr>
      </w:pPr>
      <w:r w:rsidRPr="00000AFB">
        <w:rPr>
          <w:sz w:val="20"/>
          <w:szCs w:val="20"/>
          <w:lang w:val="en-CA"/>
        </w:rPr>
        <w:t xml:space="preserve">The Company also announces that Mr. Gary Jorgenson has resigned as a director and as President of the Company, so that he can enjoy retirement. Mr. Steve Jorgenson </w:t>
      </w:r>
      <w:r w:rsidRPr="00000AFB">
        <w:rPr>
          <w:sz w:val="20"/>
          <w:szCs w:val="20"/>
          <w:lang w:val="en-US"/>
        </w:rPr>
        <w:t xml:space="preserve">has resigned from his position as Vice President and has replaced Gary as President of the Company. Steve has also been appointed to the Company’s board of directors. </w:t>
      </w:r>
    </w:p>
    <w:p w14:paraId="478E6F1F" w14:textId="77777777" w:rsidR="00FB3210" w:rsidRPr="00000AFB" w:rsidRDefault="00FB3210" w:rsidP="00FB3210">
      <w:pPr>
        <w:rPr>
          <w:sz w:val="20"/>
          <w:szCs w:val="20"/>
          <w:lang w:val="en-CA"/>
        </w:rPr>
      </w:pPr>
      <w:r w:rsidRPr="00000AFB">
        <w:rPr>
          <w:sz w:val="20"/>
          <w:szCs w:val="20"/>
          <w:lang w:val="en-US"/>
        </w:rPr>
        <w:t> </w:t>
      </w:r>
    </w:p>
    <w:p w14:paraId="3E49C1EB" w14:textId="77777777" w:rsidR="00FB3210" w:rsidRPr="00000AFB" w:rsidRDefault="00FB3210" w:rsidP="00FB3210">
      <w:pPr>
        <w:rPr>
          <w:sz w:val="20"/>
          <w:szCs w:val="20"/>
          <w:lang w:val="en-CA"/>
        </w:rPr>
      </w:pPr>
      <w:r w:rsidRPr="00000AFB">
        <w:rPr>
          <w:sz w:val="20"/>
          <w:szCs w:val="20"/>
          <w:lang w:val="en-US"/>
        </w:rPr>
        <w:t>In addition, Mr. Kevin Jorgenson has been appointed as Vice President of the Company. In connection with his appointment, Kevin has entered into a consulting agreement with the Company under which he will receive monthly remuneration of $3,000 and 30,000 units, with each unit having a deemed price of $0.10 and being comprised of one common share of the Company and one common share purchase warrant (each warrant exercisable for two years from the date of issuance at an exercise price of $0.30).</w:t>
      </w:r>
    </w:p>
    <w:p w14:paraId="04143BBB" w14:textId="77777777" w:rsidR="00FB3210" w:rsidRPr="00000AFB" w:rsidRDefault="00FB3210" w:rsidP="0056770A">
      <w:pPr>
        <w:rPr>
          <w:sz w:val="20"/>
          <w:szCs w:val="20"/>
        </w:rPr>
      </w:pPr>
    </w:p>
    <w:p w14:paraId="6C46305B" w14:textId="77777777" w:rsidR="0056770A" w:rsidRPr="00000AFB" w:rsidRDefault="0056770A" w:rsidP="0056770A">
      <w:pPr>
        <w:rPr>
          <w:sz w:val="20"/>
          <w:szCs w:val="20"/>
        </w:rPr>
      </w:pPr>
    </w:p>
    <w:p w14:paraId="376AF0B3" w14:textId="0F621B49" w:rsidR="002F62D5" w:rsidRPr="00000AFB" w:rsidRDefault="002F62D5" w:rsidP="002F62D5">
      <w:pPr>
        <w:shd w:val="clear" w:color="auto" w:fill="FFFFFF"/>
        <w:rPr>
          <w:b/>
          <w:color w:val="222222"/>
          <w:sz w:val="20"/>
          <w:szCs w:val="20"/>
        </w:rPr>
      </w:pPr>
      <w:r w:rsidRPr="00000AFB">
        <w:rPr>
          <w:b/>
          <w:color w:val="222222"/>
          <w:sz w:val="20"/>
          <w:szCs w:val="20"/>
        </w:rPr>
        <w:t>About the Company</w:t>
      </w:r>
    </w:p>
    <w:p w14:paraId="1CA0C4D1" w14:textId="77777777" w:rsidR="002F62D5" w:rsidRPr="00000AFB" w:rsidRDefault="002F62D5" w:rsidP="002F62D5">
      <w:pPr>
        <w:shd w:val="clear" w:color="auto" w:fill="FFFFFF"/>
        <w:rPr>
          <w:b/>
          <w:color w:val="222222"/>
          <w:sz w:val="20"/>
          <w:szCs w:val="20"/>
        </w:rPr>
      </w:pPr>
    </w:p>
    <w:p w14:paraId="5EAB4BD5" w14:textId="04392C11" w:rsidR="002F62D5" w:rsidRDefault="002F62D5" w:rsidP="002F62D5">
      <w:pPr>
        <w:shd w:val="clear" w:color="auto" w:fill="FFFFFF"/>
        <w:rPr>
          <w:color w:val="222222"/>
          <w:sz w:val="20"/>
          <w:szCs w:val="20"/>
        </w:rPr>
      </w:pPr>
      <w:r w:rsidRPr="00000AFB">
        <w:rPr>
          <w:color w:val="222222"/>
          <w:sz w:val="20"/>
          <w:szCs w:val="20"/>
        </w:rPr>
        <w:t>Hi Ho Silver Resources Inc. is a Vancouver based mineral exploration company dedicated to the exploration and development of precious and base metal mineral deposits and other mineral opportunities in North America and elsewhere.</w:t>
      </w:r>
    </w:p>
    <w:p w14:paraId="205C2A7F" w14:textId="11F61F6E" w:rsidR="00000AFB" w:rsidRDefault="00000AFB" w:rsidP="002F62D5">
      <w:pPr>
        <w:shd w:val="clear" w:color="auto" w:fill="FFFFFF"/>
        <w:rPr>
          <w:color w:val="222222"/>
          <w:sz w:val="20"/>
          <w:szCs w:val="20"/>
        </w:rPr>
      </w:pPr>
    </w:p>
    <w:p w14:paraId="2A208B9D" w14:textId="3D98D8E8" w:rsidR="00000AFB" w:rsidRDefault="00000AFB" w:rsidP="002F62D5">
      <w:pPr>
        <w:shd w:val="clear" w:color="auto" w:fill="FFFFFF"/>
        <w:rPr>
          <w:color w:val="222222"/>
          <w:sz w:val="20"/>
          <w:szCs w:val="20"/>
        </w:rPr>
      </w:pPr>
    </w:p>
    <w:p w14:paraId="2BC61213" w14:textId="68B03BEA" w:rsidR="00000AFB" w:rsidRDefault="00000AFB" w:rsidP="002F62D5">
      <w:pPr>
        <w:shd w:val="clear" w:color="auto" w:fill="FFFFFF"/>
        <w:rPr>
          <w:color w:val="222222"/>
          <w:sz w:val="20"/>
          <w:szCs w:val="20"/>
        </w:rPr>
      </w:pPr>
    </w:p>
    <w:p w14:paraId="4BF7781E" w14:textId="77777777" w:rsidR="00000AFB" w:rsidRPr="00000AFB" w:rsidRDefault="00000AFB" w:rsidP="002F62D5">
      <w:pPr>
        <w:shd w:val="clear" w:color="auto" w:fill="FFFFFF"/>
        <w:rPr>
          <w:color w:val="222222"/>
          <w:sz w:val="20"/>
          <w:szCs w:val="20"/>
        </w:rPr>
      </w:pPr>
    </w:p>
    <w:p w14:paraId="06A3CAE5" w14:textId="77777777" w:rsidR="009C1664" w:rsidRPr="00000AFB" w:rsidRDefault="00BF58E8">
      <w:pPr>
        <w:shd w:val="clear" w:color="auto" w:fill="FFFFFF"/>
        <w:jc w:val="right"/>
        <w:rPr>
          <w:color w:val="222222"/>
          <w:sz w:val="20"/>
          <w:szCs w:val="20"/>
        </w:rPr>
      </w:pPr>
      <w:r w:rsidRPr="00000AFB">
        <w:rPr>
          <w:noProof/>
          <w:color w:val="222222"/>
          <w:sz w:val="20"/>
          <w:szCs w:val="20"/>
          <w:lang w:val="en-CA"/>
        </w:rPr>
        <w:drawing>
          <wp:inline distT="114300" distB="114300" distL="114300" distR="114300" wp14:anchorId="54A83C7A" wp14:editId="5524FEA5">
            <wp:extent cx="2128838" cy="67924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2128838" cy="679240"/>
                    </a:xfrm>
                    <a:prstGeom prst="rect">
                      <a:avLst/>
                    </a:prstGeom>
                    <a:ln/>
                  </pic:spPr>
                </pic:pic>
              </a:graphicData>
            </a:graphic>
          </wp:inline>
        </w:drawing>
      </w:r>
    </w:p>
    <w:p w14:paraId="40492925" w14:textId="77777777" w:rsidR="009C1664" w:rsidRPr="00000AFB" w:rsidRDefault="009C1664">
      <w:pPr>
        <w:shd w:val="clear" w:color="auto" w:fill="FFFFFF"/>
        <w:rPr>
          <w:color w:val="222222"/>
          <w:sz w:val="20"/>
          <w:szCs w:val="20"/>
        </w:rPr>
      </w:pPr>
    </w:p>
    <w:p w14:paraId="51BC3599" w14:textId="77777777" w:rsidR="009C1664" w:rsidRPr="00000AFB" w:rsidRDefault="00BF58E8">
      <w:pPr>
        <w:shd w:val="clear" w:color="auto" w:fill="FFFFFF"/>
        <w:rPr>
          <w:color w:val="222222"/>
          <w:sz w:val="20"/>
          <w:szCs w:val="20"/>
        </w:rPr>
      </w:pPr>
      <w:r w:rsidRPr="00000AFB">
        <w:rPr>
          <w:noProof/>
          <w:color w:val="222222"/>
          <w:sz w:val="20"/>
          <w:szCs w:val="20"/>
          <w:lang w:val="en-CA"/>
        </w:rPr>
        <w:drawing>
          <wp:inline distT="114300" distB="114300" distL="114300" distR="114300" wp14:anchorId="0749DB95" wp14:editId="37799C3A">
            <wp:extent cx="5943600" cy="10160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943600" cy="1016000"/>
                    </a:xfrm>
                    <a:prstGeom prst="rect">
                      <a:avLst/>
                    </a:prstGeom>
                    <a:ln/>
                  </pic:spPr>
                </pic:pic>
              </a:graphicData>
            </a:graphic>
          </wp:inline>
        </w:drawing>
      </w:r>
    </w:p>
    <w:p w14:paraId="203D2C6F" w14:textId="77777777" w:rsidR="00FB3210" w:rsidRPr="00000AFB" w:rsidRDefault="00FB3210" w:rsidP="00FB3210">
      <w:pPr>
        <w:shd w:val="clear" w:color="auto" w:fill="FFFFFF"/>
        <w:rPr>
          <w:color w:val="222222"/>
          <w:sz w:val="20"/>
          <w:szCs w:val="20"/>
        </w:rPr>
      </w:pPr>
      <w:bookmarkStart w:id="0" w:name="_Hlk512952810"/>
    </w:p>
    <w:p w14:paraId="65DE6B20" w14:textId="77777777" w:rsidR="00FB3210" w:rsidRPr="00000AFB" w:rsidRDefault="00FB3210" w:rsidP="00FB3210">
      <w:pPr>
        <w:shd w:val="clear" w:color="auto" w:fill="FFFFFF"/>
        <w:rPr>
          <w:color w:val="222222"/>
          <w:sz w:val="20"/>
          <w:szCs w:val="20"/>
        </w:rPr>
      </w:pPr>
      <w:r w:rsidRPr="00000AFB">
        <w:rPr>
          <w:color w:val="222222"/>
          <w:sz w:val="20"/>
          <w:szCs w:val="20"/>
        </w:rPr>
        <w:t>For further information contact:</w:t>
      </w:r>
    </w:p>
    <w:p w14:paraId="20C08B6F" w14:textId="77777777" w:rsidR="00FB3210" w:rsidRPr="00000AFB" w:rsidRDefault="00FB3210" w:rsidP="00FB3210">
      <w:pPr>
        <w:shd w:val="clear" w:color="auto" w:fill="FFFFFF"/>
        <w:rPr>
          <w:color w:val="222222"/>
          <w:sz w:val="20"/>
          <w:szCs w:val="20"/>
        </w:rPr>
      </w:pPr>
      <w:r w:rsidRPr="00000AFB">
        <w:rPr>
          <w:color w:val="222222"/>
          <w:sz w:val="20"/>
          <w:szCs w:val="20"/>
        </w:rPr>
        <w:t>William G. Jorgenson</w:t>
      </w:r>
    </w:p>
    <w:p w14:paraId="15B1EEE1" w14:textId="77777777" w:rsidR="00FB3210" w:rsidRPr="00000AFB" w:rsidRDefault="00FB3210" w:rsidP="00FB3210">
      <w:pPr>
        <w:shd w:val="clear" w:color="auto" w:fill="FFFFFF"/>
        <w:rPr>
          <w:color w:val="222222"/>
          <w:sz w:val="20"/>
          <w:szCs w:val="20"/>
        </w:rPr>
      </w:pPr>
      <w:r w:rsidRPr="00000AFB">
        <w:rPr>
          <w:color w:val="222222"/>
          <w:sz w:val="20"/>
          <w:szCs w:val="20"/>
        </w:rPr>
        <w:t>Telephone:</w:t>
      </w:r>
      <w:r w:rsidRPr="00000AFB">
        <w:rPr>
          <w:color w:val="222222"/>
          <w:sz w:val="20"/>
          <w:szCs w:val="20"/>
        </w:rPr>
        <w:tab/>
        <w:t>778-989-0770</w:t>
      </w:r>
    </w:p>
    <w:p w14:paraId="6625E123" w14:textId="77777777" w:rsidR="00FB3210" w:rsidRPr="00000AFB" w:rsidRDefault="00FB3210" w:rsidP="00FB3210">
      <w:pPr>
        <w:shd w:val="clear" w:color="auto" w:fill="FFFFFF"/>
        <w:rPr>
          <w:color w:val="222222"/>
          <w:sz w:val="20"/>
          <w:szCs w:val="20"/>
        </w:rPr>
      </w:pPr>
      <w:r w:rsidRPr="00000AFB">
        <w:rPr>
          <w:color w:val="222222"/>
          <w:sz w:val="20"/>
          <w:szCs w:val="20"/>
        </w:rPr>
        <w:t>Email:</w:t>
      </w:r>
      <w:r w:rsidRPr="00000AFB">
        <w:rPr>
          <w:color w:val="222222"/>
          <w:sz w:val="20"/>
          <w:szCs w:val="20"/>
        </w:rPr>
        <w:tab/>
      </w:r>
      <w:r w:rsidRPr="00000AFB">
        <w:rPr>
          <w:color w:val="222222"/>
          <w:sz w:val="20"/>
          <w:szCs w:val="20"/>
        </w:rPr>
        <w:tab/>
        <w:t>bill@hihoresources.com</w:t>
      </w:r>
    </w:p>
    <w:p w14:paraId="563AECC8" w14:textId="77777777" w:rsidR="00FB3210" w:rsidRPr="00000AFB" w:rsidRDefault="00FB3210" w:rsidP="00FB3210">
      <w:pPr>
        <w:shd w:val="clear" w:color="auto" w:fill="FFFFFF"/>
        <w:rPr>
          <w:color w:val="222222"/>
          <w:sz w:val="20"/>
          <w:szCs w:val="20"/>
        </w:rPr>
      </w:pPr>
      <w:r w:rsidRPr="00000AFB">
        <w:rPr>
          <w:color w:val="222222"/>
          <w:sz w:val="20"/>
          <w:szCs w:val="20"/>
        </w:rPr>
        <w:t>Website:</w:t>
      </w:r>
      <w:r w:rsidRPr="00000AFB">
        <w:rPr>
          <w:color w:val="222222"/>
          <w:sz w:val="20"/>
          <w:szCs w:val="20"/>
        </w:rPr>
        <w:tab/>
        <w:t>www.hihoresources.com</w:t>
      </w:r>
    </w:p>
    <w:p w14:paraId="2D9A922B" w14:textId="77777777" w:rsidR="00FB3210" w:rsidRPr="00000AFB" w:rsidRDefault="00FB3210" w:rsidP="00FB3210">
      <w:pPr>
        <w:shd w:val="clear" w:color="auto" w:fill="FFFFFF"/>
        <w:rPr>
          <w:color w:val="222222"/>
          <w:sz w:val="20"/>
          <w:szCs w:val="20"/>
        </w:rPr>
      </w:pPr>
    </w:p>
    <w:p w14:paraId="2B55AC8A" w14:textId="77777777" w:rsidR="00FB3210" w:rsidRDefault="00FB3210">
      <w:pPr>
        <w:shd w:val="clear" w:color="auto" w:fill="FFFFFF"/>
        <w:rPr>
          <w:color w:val="222222"/>
          <w:sz w:val="18"/>
          <w:szCs w:val="18"/>
        </w:rPr>
      </w:pPr>
    </w:p>
    <w:p w14:paraId="22304C2E" w14:textId="77777777" w:rsidR="009C1664" w:rsidRDefault="00BF58E8">
      <w:pPr>
        <w:shd w:val="clear" w:color="auto" w:fill="FFFFFF"/>
        <w:rPr>
          <w:i/>
          <w:color w:val="222222"/>
          <w:sz w:val="18"/>
          <w:szCs w:val="18"/>
        </w:rPr>
      </w:pPr>
      <w:r>
        <w:rPr>
          <w:i/>
          <w:color w:val="222222"/>
          <w:sz w:val="18"/>
          <w:szCs w:val="18"/>
        </w:rPr>
        <w:t>The Canadian Securities Exchange (CSE) has not reviewed and does not accept responsibility for the adequacy or the accuracy of the contents of this news release.</w:t>
      </w:r>
    </w:p>
    <w:p w14:paraId="31E737B6" w14:textId="77777777" w:rsidR="009C1664" w:rsidRDefault="009C1664">
      <w:pPr>
        <w:shd w:val="clear" w:color="auto" w:fill="FFFFFF"/>
        <w:rPr>
          <w:i/>
          <w:color w:val="222222"/>
          <w:sz w:val="18"/>
          <w:szCs w:val="18"/>
        </w:rPr>
      </w:pPr>
    </w:p>
    <w:p w14:paraId="0E510109" w14:textId="77777777" w:rsidR="009C1664" w:rsidRDefault="00BF58E8">
      <w:pPr>
        <w:shd w:val="clear" w:color="auto" w:fill="FFFFFF"/>
        <w:rPr>
          <w:i/>
          <w:color w:val="222222"/>
          <w:sz w:val="18"/>
          <w:szCs w:val="18"/>
        </w:rPr>
      </w:pPr>
      <w:r>
        <w:rPr>
          <w:i/>
          <w:color w:val="222222"/>
          <w:sz w:val="18"/>
          <w:szCs w:val="18"/>
        </w:rPr>
        <w:t xml:space="preserve">This news release includes certain statements that may be deemed “forward-looking statements”. The use of any of the words “anticipate’, “continue”, “estimate”, “expect”, “may”, “will”, “would”, “project”,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news release. Actual results could differ materially from those currently anticipated due to a number of factors and risks including various risk factors discussed in the Company’s disclosure documents which can be found under the Company’s profile on </w:t>
      </w:r>
      <w:hyperlink r:id="rId6">
        <w:r>
          <w:rPr>
            <w:i/>
            <w:color w:val="1155CC"/>
            <w:sz w:val="18"/>
            <w:szCs w:val="18"/>
            <w:u w:val="single"/>
          </w:rPr>
          <w:t>www.sedar.com</w:t>
        </w:r>
      </w:hyperlink>
      <w:r>
        <w:rPr>
          <w:i/>
          <w:color w:val="222222"/>
          <w:sz w:val="18"/>
          <w:szCs w:val="18"/>
        </w:rPr>
        <w:t>.</w:t>
      </w:r>
    </w:p>
    <w:p w14:paraId="54A1676C" w14:textId="77777777" w:rsidR="009C1664" w:rsidRDefault="009C1664">
      <w:pPr>
        <w:shd w:val="clear" w:color="auto" w:fill="FFFFFF"/>
        <w:rPr>
          <w:i/>
          <w:color w:val="222222"/>
          <w:sz w:val="18"/>
          <w:szCs w:val="18"/>
        </w:rPr>
      </w:pPr>
    </w:p>
    <w:bookmarkEnd w:id="0"/>
    <w:p w14:paraId="4F097A11" w14:textId="77777777" w:rsidR="009C1664" w:rsidRDefault="009C1664">
      <w:pPr>
        <w:shd w:val="clear" w:color="auto" w:fill="FFFFFF"/>
        <w:rPr>
          <w:i/>
          <w:color w:val="222222"/>
          <w:sz w:val="18"/>
          <w:szCs w:val="18"/>
        </w:rPr>
      </w:pPr>
    </w:p>
    <w:p w14:paraId="4291999E" w14:textId="66BF0F46" w:rsidR="004E5E3D" w:rsidRDefault="004E5E3D">
      <w:pPr>
        <w:shd w:val="clear" w:color="auto" w:fill="FFFFFF"/>
        <w:rPr>
          <w:i/>
          <w:color w:val="222222"/>
          <w:sz w:val="18"/>
          <w:szCs w:val="18"/>
        </w:rPr>
      </w:pPr>
    </w:p>
    <w:p w14:paraId="4AB9D834" w14:textId="56A832AF" w:rsidR="004E5E3D" w:rsidRDefault="004E5E3D">
      <w:pPr>
        <w:shd w:val="clear" w:color="auto" w:fill="FFFFFF"/>
        <w:rPr>
          <w:i/>
          <w:color w:val="222222"/>
          <w:sz w:val="18"/>
          <w:szCs w:val="18"/>
        </w:rPr>
      </w:pPr>
    </w:p>
    <w:p w14:paraId="0DAD3DB7" w14:textId="4A255CA9" w:rsidR="004E5E3D" w:rsidRDefault="004E5E3D">
      <w:pPr>
        <w:shd w:val="clear" w:color="auto" w:fill="FFFFFF"/>
        <w:rPr>
          <w:i/>
          <w:color w:val="222222"/>
          <w:sz w:val="18"/>
          <w:szCs w:val="18"/>
        </w:rPr>
      </w:pPr>
    </w:p>
    <w:p w14:paraId="1660AEAA" w14:textId="16197F7C" w:rsidR="004E5E3D" w:rsidRDefault="004E5E3D">
      <w:pPr>
        <w:shd w:val="clear" w:color="auto" w:fill="FFFFFF"/>
        <w:rPr>
          <w:i/>
          <w:color w:val="222222"/>
          <w:sz w:val="18"/>
          <w:szCs w:val="18"/>
        </w:rPr>
      </w:pPr>
    </w:p>
    <w:p w14:paraId="6B3C75B6" w14:textId="097CB3C4" w:rsidR="004E5E3D" w:rsidRDefault="004E5E3D">
      <w:pPr>
        <w:shd w:val="clear" w:color="auto" w:fill="FFFFFF"/>
        <w:rPr>
          <w:i/>
          <w:color w:val="222222"/>
          <w:sz w:val="18"/>
          <w:szCs w:val="18"/>
        </w:rPr>
      </w:pPr>
    </w:p>
    <w:p w14:paraId="1009285E" w14:textId="4A5E6089" w:rsidR="004E5E3D" w:rsidRDefault="004E5E3D">
      <w:pPr>
        <w:shd w:val="clear" w:color="auto" w:fill="FFFFFF"/>
        <w:rPr>
          <w:i/>
          <w:color w:val="222222"/>
          <w:sz w:val="18"/>
          <w:szCs w:val="18"/>
        </w:rPr>
      </w:pPr>
    </w:p>
    <w:p w14:paraId="21AA3F10" w14:textId="1B4213BE" w:rsidR="004E5E3D" w:rsidRDefault="004E5E3D">
      <w:pPr>
        <w:shd w:val="clear" w:color="auto" w:fill="FFFFFF"/>
        <w:rPr>
          <w:i/>
          <w:color w:val="222222"/>
          <w:sz w:val="18"/>
          <w:szCs w:val="18"/>
        </w:rPr>
      </w:pPr>
    </w:p>
    <w:p w14:paraId="50FC2C13" w14:textId="7533BCC0" w:rsidR="004E5E3D" w:rsidRDefault="004E5E3D">
      <w:pPr>
        <w:shd w:val="clear" w:color="auto" w:fill="FFFFFF"/>
        <w:rPr>
          <w:i/>
          <w:color w:val="222222"/>
          <w:sz w:val="18"/>
          <w:szCs w:val="18"/>
        </w:rPr>
      </w:pPr>
    </w:p>
    <w:p w14:paraId="5CDD0883" w14:textId="269C5FAF" w:rsidR="004E5E3D" w:rsidRDefault="004E5E3D">
      <w:pPr>
        <w:shd w:val="clear" w:color="auto" w:fill="FFFFFF"/>
        <w:rPr>
          <w:i/>
          <w:color w:val="222222"/>
          <w:sz w:val="18"/>
          <w:szCs w:val="18"/>
        </w:rPr>
      </w:pPr>
    </w:p>
    <w:p w14:paraId="16A0246D" w14:textId="18A23940" w:rsidR="002F62D5" w:rsidRDefault="002F62D5">
      <w:pPr>
        <w:shd w:val="clear" w:color="auto" w:fill="FFFFFF"/>
        <w:rPr>
          <w:i/>
          <w:color w:val="222222"/>
          <w:sz w:val="18"/>
          <w:szCs w:val="18"/>
        </w:rPr>
      </w:pPr>
    </w:p>
    <w:p w14:paraId="227B02F3" w14:textId="642CEEAE" w:rsidR="002F62D5" w:rsidRDefault="002F62D5">
      <w:pPr>
        <w:shd w:val="clear" w:color="auto" w:fill="FFFFFF"/>
        <w:rPr>
          <w:i/>
          <w:color w:val="222222"/>
          <w:sz w:val="18"/>
          <w:szCs w:val="18"/>
        </w:rPr>
      </w:pPr>
    </w:p>
    <w:p w14:paraId="2ACD7137" w14:textId="267D02F4" w:rsidR="002F62D5" w:rsidRDefault="002F62D5">
      <w:pPr>
        <w:shd w:val="clear" w:color="auto" w:fill="FFFFFF"/>
        <w:rPr>
          <w:i/>
          <w:color w:val="222222"/>
          <w:sz w:val="18"/>
          <w:szCs w:val="18"/>
        </w:rPr>
      </w:pPr>
    </w:p>
    <w:p w14:paraId="5B8D6831" w14:textId="24A5C4A9" w:rsidR="009C1664" w:rsidRDefault="009C1664">
      <w:pPr>
        <w:shd w:val="clear" w:color="auto" w:fill="FFFFFF"/>
        <w:rPr>
          <w:i/>
          <w:color w:val="222222"/>
          <w:sz w:val="18"/>
          <w:szCs w:val="18"/>
        </w:rPr>
      </w:pPr>
    </w:p>
    <w:p w14:paraId="5AE304BA" w14:textId="77777777" w:rsidR="009C1664" w:rsidRDefault="009C1664">
      <w:pPr>
        <w:shd w:val="clear" w:color="auto" w:fill="FFFFFF"/>
        <w:rPr>
          <w:i/>
          <w:color w:val="222222"/>
          <w:sz w:val="18"/>
          <w:szCs w:val="18"/>
        </w:rPr>
      </w:pPr>
    </w:p>
    <w:p w14:paraId="5239471C" w14:textId="77777777" w:rsidR="009C1664" w:rsidRDefault="009C1664">
      <w:pPr>
        <w:shd w:val="clear" w:color="auto" w:fill="FFFFFF"/>
        <w:rPr>
          <w:i/>
          <w:color w:val="222222"/>
          <w:sz w:val="18"/>
          <w:szCs w:val="18"/>
        </w:rPr>
      </w:pPr>
    </w:p>
    <w:p w14:paraId="7A69DA74" w14:textId="6FC7F741" w:rsidR="009C1664" w:rsidRDefault="009C1664">
      <w:pPr>
        <w:shd w:val="clear" w:color="auto" w:fill="FFFFFF"/>
        <w:rPr>
          <w:i/>
          <w:color w:val="222222"/>
          <w:sz w:val="18"/>
          <w:szCs w:val="18"/>
        </w:rPr>
      </w:pPr>
    </w:p>
    <w:p w14:paraId="1FE1B8CE" w14:textId="77777777" w:rsidR="00000AFB" w:rsidRDefault="00000AFB">
      <w:pPr>
        <w:shd w:val="clear" w:color="auto" w:fill="FFFFFF"/>
        <w:rPr>
          <w:i/>
          <w:color w:val="222222"/>
          <w:sz w:val="18"/>
          <w:szCs w:val="18"/>
        </w:rPr>
      </w:pPr>
      <w:bookmarkStart w:id="1" w:name="_GoBack"/>
      <w:bookmarkEnd w:id="1"/>
    </w:p>
    <w:p w14:paraId="49EE99D0" w14:textId="77777777" w:rsidR="009C1664" w:rsidRDefault="009C1664">
      <w:pPr>
        <w:shd w:val="clear" w:color="auto" w:fill="FFFFFF"/>
        <w:rPr>
          <w:i/>
          <w:color w:val="222222"/>
          <w:sz w:val="18"/>
          <w:szCs w:val="18"/>
        </w:rPr>
      </w:pPr>
    </w:p>
    <w:p w14:paraId="618F9C33" w14:textId="77777777" w:rsidR="009C1664" w:rsidRDefault="00BF58E8">
      <w:pPr>
        <w:shd w:val="clear" w:color="auto" w:fill="FFFFFF"/>
        <w:jc w:val="right"/>
      </w:pPr>
      <w:r>
        <w:rPr>
          <w:noProof/>
          <w:color w:val="222222"/>
          <w:sz w:val="24"/>
          <w:szCs w:val="24"/>
          <w:lang w:val="en-CA"/>
        </w:rPr>
        <w:drawing>
          <wp:inline distT="114300" distB="114300" distL="114300" distR="114300" wp14:anchorId="4F6B2048" wp14:editId="5BC2415F">
            <wp:extent cx="2128838" cy="67924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2128838" cy="679240"/>
                    </a:xfrm>
                    <a:prstGeom prst="rect">
                      <a:avLst/>
                    </a:prstGeom>
                    <a:ln/>
                  </pic:spPr>
                </pic:pic>
              </a:graphicData>
            </a:graphic>
          </wp:inline>
        </w:drawing>
      </w:r>
    </w:p>
    <w:sectPr w:rsidR="009C1664">
      <w:pgSz w:w="12240" w:h="15840"/>
      <w:pgMar w:top="1440" w:right="126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64"/>
    <w:rsid w:val="00000AFB"/>
    <w:rsid w:val="000171B0"/>
    <w:rsid w:val="000436CC"/>
    <w:rsid w:val="0007064D"/>
    <w:rsid w:val="001B343D"/>
    <w:rsid w:val="001D5B15"/>
    <w:rsid w:val="002F62D5"/>
    <w:rsid w:val="00372578"/>
    <w:rsid w:val="004A522C"/>
    <w:rsid w:val="004C1B38"/>
    <w:rsid w:val="004E5E3D"/>
    <w:rsid w:val="0056770A"/>
    <w:rsid w:val="00573E3D"/>
    <w:rsid w:val="00586920"/>
    <w:rsid w:val="005B5094"/>
    <w:rsid w:val="00616EB0"/>
    <w:rsid w:val="007211B7"/>
    <w:rsid w:val="00753496"/>
    <w:rsid w:val="007E3F99"/>
    <w:rsid w:val="009C1664"/>
    <w:rsid w:val="00BC6A88"/>
    <w:rsid w:val="00BF50E5"/>
    <w:rsid w:val="00BF58E8"/>
    <w:rsid w:val="00CA63ED"/>
    <w:rsid w:val="00D05955"/>
    <w:rsid w:val="00D068E8"/>
    <w:rsid w:val="00EE3CAD"/>
    <w:rsid w:val="00FB3210"/>
    <w:rsid w:val="00FC24D1"/>
    <w:rsid w:val="13BB09DA"/>
    <w:rsid w:val="738EF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B8EA"/>
  <w15:docId w15:val="{B9099409-339B-4480-A6BA-844AB650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72578"/>
    <w:rPr>
      <w:sz w:val="16"/>
      <w:szCs w:val="16"/>
    </w:rPr>
  </w:style>
  <w:style w:type="paragraph" w:styleId="CommentText">
    <w:name w:val="annotation text"/>
    <w:basedOn w:val="Normal"/>
    <w:link w:val="CommentTextChar"/>
    <w:uiPriority w:val="99"/>
    <w:semiHidden/>
    <w:unhideWhenUsed/>
    <w:rsid w:val="00372578"/>
    <w:pPr>
      <w:spacing w:line="240" w:lineRule="auto"/>
    </w:pPr>
    <w:rPr>
      <w:sz w:val="20"/>
      <w:szCs w:val="20"/>
    </w:rPr>
  </w:style>
  <w:style w:type="character" w:customStyle="1" w:styleId="CommentTextChar">
    <w:name w:val="Comment Text Char"/>
    <w:basedOn w:val="DefaultParagraphFont"/>
    <w:link w:val="CommentText"/>
    <w:uiPriority w:val="99"/>
    <w:semiHidden/>
    <w:rsid w:val="00372578"/>
    <w:rPr>
      <w:sz w:val="20"/>
      <w:szCs w:val="20"/>
    </w:rPr>
  </w:style>
  <w:style w:type="paragraph" w:styleId="CommentSubject">
    <w:name w:val="annotation subject"/>
    <w:basedOn w:val="CommentText"/>
    <w:next w:val="CommentText"/>
    <w:link w:val="CommentSubjectChar"/>
    <w:uiPriority w:val="99"/>
    <w:semiHidden/>
    <w:unhideWhenUsed/>
    <w:rsid w:val="00372578"/>
    <w:rPr>
      <w:b/>
      <w:bCs/>
    </w:rPr>
  </w:style>
  <w:style w:type="character" w:customStyle="1" w:styleId="CommentSubjectChar">
    <w:name w:val="Comment Subject Char"/>
    <w:basedOn w:val="CommentTextChar"/>
    <w:link w:val="CommentSubject"/>
    <w:uiPriority w:val="99"/>
    <w:semiHidden/>
    <w:rsid w:val="00372578"/>
    <w:rPr>
      <w:b/>
      <w:bCs/>
      <w:sz w:val="20"/>
      <w:szCs w:val="20"/>
    </w:rPr>
  </w:style>
  <w:style w:type="paragraph" w:styleId="BalloonText">
    <w:name w:val="Balloon Text"/>
    <w:basedOn w:val="Normal"/>
    <w:link w:val="BalloonTextChar"/>
    <w:uiPriority w:val="99"/>
    <w:semiHidden/>
    <w:unhideWhenUsed/>
    <w:rsid w:val="003725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578"/>
    <w:rPr>
      <w:rFonts w:ascii="Segoe UI" w:hAnsi="Segoe UI" w:cs="Segoe UI"/>
      <w:sz w:val="18"/>
      <w:szCs w:val="18"/>
    </w:rPr>
  </w:style>
  <w:style w:type="character" w:styleId="Hyperlink">
    <w:name w:val="Hyperlink"/>
    <w:basedOn w:val="DefaultParagraphFont"/>
    <w:uiPriority w:val="99"/>
    <w:unhideWhenUsed/>
    <w:rsid w:val="002F62D5"/>
    <w:rPr>
      <w:color w:val="0000FF" w:themeColor="hyperlink"/>
      <w:u w:val="single"/>
    </w:rPr>
  </w:style>
  <w:style w:type="character" w:customStyle="1" w:styleId="UnresolvedMention1">
    <w:name w:val="Unresolved Mention1"/>
    <w:basedOn w:val="DefaultParagraphFont"/>
    <w:uiPriority w:val="99"/>
    <w:semiHidden/>
    <w:unhideWhenUsed/>
    <w:rsid w:val="002F62D5"/>
    <w:rPr>
      <w:color w:val="808080"/>
      <w:shd w:val="clear" w:color="auto" w:fill="E6E6E6"/>
    </w:rPr>
  </w:style>
  <w:style w:type="paragraph" w:styleId="NoSpacing">
    <w:name w:val="No Spacing"/>
    <w:uiPriority w:val="1"/>
    <w:qFormat/>
    <w:rsid w:val="0056770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2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ar.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 Assistant</dc:creator>
  <cp:lastModifiedBy>Mike Raven</cp:lastModifiedBy>
  <cp:revision>4</cp:revision>
  <cp:lastPrinted>2018-06-18T16:52:00Z</cp:lastPrinted>
  <dcterms:created xsi:type="dcterms:W3CDTF">2018-07-10T23:17:00Z</dcterms:created>
  <dcterms:modified xsi:type="dcterms:W3CDTF">2018-07-10T23:22:00Z</dcterms:modified>
</cp:coreProperties>
</file>