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954" w:rsidRDefault="006B5C86" w:rsidP="00C70185">
      <w:pPr>
        <w:spacing w:after="0"/>
        <w:jc w:val="center"/>
      </w:pPr>
      <w:bookmarkStart w:id="0" w:name="DocsID"/>
      <w:bookmarkEnd w:id="0"/>
      <w:r>
        <w:rPr>
          <w:b/>
          <w:bCs/>
          <w:noProof/>
          <w:lang w:eastAsia="en-CA"/>
        </w:rPr>
        <w:drawing>
          <wp:inline distT="0" distB="0" distL="0" distR="0" wp14:anchorId="4FEC5DB5" wp14:editId="39D3D5ED">
            <wp:extent cx="137922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8491" cy="825941"/>
                    </a:xfrm>
                    <a:prstGeom prst="rect">
                      <a:avLst/>
                    </a:prstGeom>
                    <a:noFill/>
                    <a:ln>
                      <a:noFill/>
                    </a:ln>
                  </pic:spPr>
                </pic:pic>
              </a:graphicData>
            </a:graphic>
          </wp:inline>
        </w:drawing>
      </w:r>
      <w:bookmarkStart w:id="1" w:name="_GoBack"/>
      <w:bookmarkEnd w:id="1"/>
    </w:p>
    <w:p w:rsidR="00C70185" w:rsidRDefault="00C70185" w:rsidP="00C70185">
      <w:pPr>
        <w:spacing w:after="0"/>
        <w:jc w:val="center"/>
      </w:pPr>
    </w:p>
    <w:p w:rsidR="00AC09F8" w:rsidRDefault="007C7D72" w:rsidP="00C70185">
      <w:pPr>
        <w:spacing w:after="0"/>
        <w:jc w:val="center"/>
        <w:rPr>
          <w:b/>
          <w:bCs/>
          <w:color w:val="000000"/>
        </w:rPr>
      </w:pPr>
      <w:r>
        <w:rPr>
          <w:b/>
          <w:bCs/>
          <w:color w:val="000000"/>
        </w:rPr>
        <w:t>Advantex</w:t>
      </w:r>
      <w:r w:rsidR="003A14BD">
        <w:rPr>
          <w:b/>
          <w:bCs/>
          <w:color w:val="000000"/>
        </w:rPr>
        <w:t xml:space="preserve"> </w:t>
      </w:r>
      <w:r w:rsidR="00D351D5">
        <w:rPr>
          <w:b/>
          <w:bCs/>
          <w:color w:val="000000"/>
        </w:rPr>
        <w:t>An</w:t>
      </w:r>
      <w:r w:rsidR="008D384B">
        <w:rPr>
          <w:b/>
          <w:bCs/>
          <w:color w:val="000000"/>
        </w:rPr>
        <w:t>nounces Extension of Debentures</w:t>
      </w:r>
    </w:p>
    <w:p w:rsidR="00C70185" w:rsidRPr="00012151" w:rsidRDefault="00C70185" w:rsidP="00C70185">
      <w:pPr>
        <w:spacing w:after="0"/>
        <w:jc w:val="center"/>
        <w:rPr>
          <w:b/>
          <w:bCs/>
          <w:color w:val="000000"/>
        </w:rPr>
      </w:pPr>
    </w:p>
    <w:p w:rsidR="002C54A6" w:rsidRDefault="00182B38" w:rsidP="002C54A6">
      <w:pPr>
        <w:jc w:val="both"/>
        <w:rPr>
          <w:color w:val="000000"/>
        </w:rPr>
      </w:pPr>
      <w:r>
        <w:rPr>
          <w:b/>
          <w:bCs/>
          <w:color w:val="000000"/>
        </w:rPr>
        <w:t>Toronto,</w:t>
      </w:r>
      <w:r w:rsidR="002C54A6">
        <w:rPr>
          <w:b/>
          <w:bCs/>
          <w:color w:val="000000"/>
        </w:rPr>
        <w:t xml:space="preserve"> </w:t>
      </w:r>
      <w:r w:rsidR="008605A4">
        <w:rPr>
          <w:b/>
          <w:bCs/>
          <w:color w:val="000000"/>
        </w:rPr>
        <w:t>June</w:t>
      </w:r>
      <w:r w:rsidR="00EF0E44">
        <w:rPr>
          <w:b/>
          <w:bCs/>
          <w:color w:val="000000"/>
        </w:rPr>
        <w:t xml:space="preserve"> </w:t>
      </w:r>
      <w:r w:rsidR="008605A4">
        <w:rPr>
          <w:b/>
          <w:bCs/>
          <w:color w:val="000000"/>
        </w:rPr>
        <w:t>2</w:t>
      </w:r>
      <w:r w:rsidR="00952EA4">
        <w:rPr>
          <w:b/>
          <w:bCs/>
          <w:color w:val="000000"/>
        </w:rPr>
        <w:t>8</w:t>
      </w:r>
      <w:r w:rsidR="00012151" w:rsidRPr="00D351D5">
        <w:rPr>
          <w:b/>
          <w:bCs/>
          <w:color w:val="000000"/>
        </w:rPr>
        <w:t>,</w:t>
      </w:r>
      <w:r w:rsidR="00012151" w:rsidRPr="00182B38">
        <w:rPr>
          <w:b/>
          <w:bCs/>
          <w:color w:val="000000"/>
        </w:rPr>
        <w:t xml:space="preserve"> 201</w:t>
      </w:r>
      <w:r w:rsidR="008D384B">
        <w:rPr>
          <w:b/>
          <w:bCs/>
          <w:color w:val="000000"/>
        </w:rPr>
        <w:t>7</w:t>
      </w:r>
      <w:r w:rsidR="006B5C86" w:rsidRPr="00182B38">
        <w:rPr>
          <w:b/>
          <w:bCs/>
          <w:color w:val="000000"/>
        </w:rPr>
        <w:t xml:space="preserve"> -- </w:t>
      </w:r>
      <w:r w:rsidR="006B5C86" w:rsidRPr="00182B38">
        <w:rPr>
          <w:bCs/>
          <w:color w:val="000000"/>
        </w:rPr>
        <w:t>Advantex Marketing International Inc</w:t>
      </w:r>
      <w:r w:rsidR="006B5C86" w:rsidRPr="00182B38">
        <w:rPr>
          <w:b/>
          <w:bCs/>
          <w:color w:val="000000"/>
        </w:rPr>
        <w:t xml:space="preserve">. </w:t>
      </w:r>
      <w:r w:rsidR="00012151" w:rsidRPr="00182B38">
        <w:rPr>
          <w:color w:val="000000"/>
        </w:rPr>
        <w:t>(CSE</w:t>
      </w:r>
      <w:r w:rsidR="006B5C86" w:rsidRPr="00182B38">
        <w:rPr>
          <w:color w:val="000000"/>
        </w:rPr>
        <w:t>: ADX)</w:t>
      </w:r>
      <w:r w:rsidR="005C0A4D">
        <w:rPr>
          <w:color w:val="000000"/>
        </w:rPr>
        <w:t xml:space="preserve"> (</w:t>
      </w:r>
      <w:r w:rsidR="00530527" w:rsidRPr="005C0A4D">
        <w:rPr>
          <w:b/>
          <w:color w:val="000000"/>
        </w:rPr>
        <w:t>Advantex</w:t>
      </w:r>
      <w:r w:rsidR="00530527">
        <w:rPr>
          <w:color w:val="000000"/>
        </w:rPr>
        <w:t>)</w:t>
      </w:r>
      <w:r w:rsidR="006B5C86" w:rsidRPr="00182B38">
        <w:rPr>
          <w:color w:val="000000"/>
        </w:rPr>
        <w:t xml:space="preserve">, a specialist in marketing loyalty-reward programs, </w:t>
      </w:r>
      <w:r w:rsidR="006A5733">
        <w:rPr>
          <w:color w:val="000000"/>
        </w:rPr>
        <w:t xml:space="preserve">today </w:t>
      </w:r>
      <w:r w:rsidR="003B568D" w:rsidRPr="00182B38">
        <w:rPr>
          <w:color w:val="000000"/>
        </w:rPr>
        <w:t xml:space="preserve">announced </w:t>
      </w:r>
      <w:r w:rsidR="006A5733">
        <w:rPr>
          <w:color w:val="000000"/>
        </w:rPr>
        <w:t xml:space="preserve">that it has </w:t>
      </w:r>
      <w:r w:rsidR="00530527">
        <w:rPr>
          <w:color w:val="000000"/>
        </w:rPr>
        <w:t>received approval from the requisite holders of its secured non-convertible debenture</w:t>
      </w:r>
      <w:r w:rsidR="005C0A4D">
        <w:rPr>
          <w:color w:val="000000"/>
        </w:rPr>
        <w:t>s</w:t>
      </w:r>
      <w:r w:rsidR="00530527">
        <w:rPr>
          <w:color w:val="000000"/>
        </w:rPr>
        <w:t xml:space="preserve"> (</w:t>
      </w:r>
      <w:r w:rsidR="005C0A4D">
        <w:rPr>
          <w:color w:val="000000"/>
        </w:rPr>
        <w:t xml:space="preserve">the </w:t>
      </w:r>
      <w:r w:rsidR="00530527" w:rsidRPr="005C0A4D">
        <w:rPr>
          <w:b/>
          <w:color w:val="000000"/>
        </w:rPr>
        <w:t>Debenture</w:t>
      </w:r>
      <w:r w:rsidR="005C0A4D">
        <w:rPr>
          <w:color w:val="000000"/>
        </w:rPr>
        <w:t>s</w:t>
      </w:r>
      <w:r w:rsidR="00530527">
        <w:rPr>
          <w:color w:val="000000"/>
        </w:rPr>
        <w:t>) issued in December 2013 to extend the maturity date of the Debenture</w:t>
      </w:r>
      <w:r w:rsidR="005C0A4D">
        <w:rPr>
          <w:color w:val="000000"/>
        </w:rPr>
        <w:t>s</w:t>
      </w:r>
      <w:r w:rsidR="00530527">
        <w:rPr>
          <w:color w:val="000000"/>
        </w:rPr>
        <w:t xml:space="preserve"> to</w:t>
      </w:r>
      <w:r w:rsidR="008605A4">
        <w:rPr>
          <w:color w:val="000000"/>
        </w:rPr>
        <w:t xml:space="preserve"> </w:t>
      </w:r>
      <w:r w:rsidR="00952EA4">
        <w:rPr>
          <w:color w:val="000000"/>
        </w:rPr>
        <w:t>September</w:t>
      </w:r>
      <w:r w:rsidR="008605A4">
        <w:rPr>
          <w:color w:val="000000"/>
        </w:rPr>
        <w:t xml:space="preserve"> 3</w:t>
      </w:r>
      <w:r w:rsidR="00952EA4">
        <w:rPr>
          <w:color w:val="000000"/>
        </w:rPr>
        <w:t>0</w:t>
      </w:r>
      <w:r w:rsidR="008605A4">
        <w:rPr>
          <w:color w:val="000000"/>
        </w:rPr>
        <w:t>, 2017 from</w:t>
      </w:r>
      <w:r w:rsidR="00530527">
        <w:rPr>
          <w:color w:val="000000"/>
        </w:rPr>
        <w:t xml:space="preserve"> </w:t>
      </w:r>
      <w:r w:rsidR="008D384B">
        <w:rPr>
          <w:color w:val="000000"/>
        </w:rPr>
        <w:t>June</w:t>
      </w:r>
      <w:r w:rsidR="00530527">
        <w:rPr>
          <w:color w:val="000000"/>
        </w:rPr>
        <w:t xml:space="preserve"> 3</w:t>
      </w:r>
      <w:r w:rsidR="008D384B">
        <w:rPr>
          <w:color w:val="000000"/>
        </w:rPr>
        <w:t>0</w:t>
      </w:r>
      <w:r w:rsidR="00530527">
        <w:rPr>
          <w:color w:val="000000"/>
        </w:rPr>
        <w:t>, 201</w:t>
      </w:r>
      <w:r w:rsidR="002C54A6">
        <w:rPr>
          <w:color w:val="000000"/>
        </w:rPr>
        <w:t>7</w:t>
      </w:r>
      <w:r w:rsidR="00530527">
        <w:rPr>
          <w:color w:val="000000"/>
        </w:rPr>
        <w:t xml:space="preserve">.  </w:t>
      </w:r>
      <w:r w:rsidR="00DC572B">
        <w:rPr>
          <w:color w:val="000000"/>
        </w:rPr>
        <w:t>It is anticipated that there will be breaches of</w:t>
      </w:r>
      <w:r w:rsidR="002C54A6">
        <w:rPr>
          <w:color w:val="000000"/>
        </w:rPr>
        <w:t xml:space="preserve"> financial covenants</w:t>
      </w:r>
      <w:r w:rsidR="00DC572B">
        <w:rPr>
          <w:color w:val="000000"/>
        </w:rPr>
        <w:t xml:space="preserve"> contained in the Debentures as at </w:t>
      </w:r>
      <w:r w:rsidR="008605A4">
        <w:rPr>
          <w:color w:val="000000"/>
        </w:rPr>
        <w:t>June</w:t>
      </w:r>
      <w:r w:rsidR="00D351D5">
        <w:rPr>
          <w:color w:val="000000"/>
        </w:rPr>
        <w:t xml:space="preserve"> 3</w:t>
      </w:r>
      <w:r w:rsidR="008605A4">
        <w:rPr>
          <w:color w:val="000000"/>
        </w:rPr>
        <w:t>0</w:t>
      </w:r>
      <w:r w:rsidR="00D351D5">
        <w:rPr>
          <w:color w:val="000000"/>
        </w:rPr>
        <w:t xml:space="preserve">, </w:t>
      </w:r>
      <w:r w:rsidR="002C54A6">
        <w:rPr>
          <w:color w:val="000000"/>
        </w:rPr>
        <w:t>201</w:t>
      </w:r>
      <w:r w:rsidR="008D384B">
        <w:rPr>
          <w:color w:val="000000"/>
        </w:rPr>
        <w:t>7</w:t>
      </w:r>
      <w:r w:rsidR="00DC572B">
        <w:rPr>
          <w:color w:val="000000"/>
        </w:rPr>
        <w:t xml:space="preserve"> which have not been waived by the holders of the Debentures</w:t>
      </w:r>
      <w:r w:rsidR="00D351D5">
        <w:rPr>
          <w:color w:val="000000"/>
        </w:rPr>
        <w:t>.</w:t>
      </w:r>
    </w:p>
    <w:p w:rsidR="008115CE" w:rsidRDefault="008115CE" w:rsidP="002C54A6">
      <w:pPr>
        <w:jc w:val="both"/>
        <w:rPr>
          <w:color w:val="000000"/>
        </w:rPr>
      </w:pPr>
      <w:r w:rsidRPr="008115CE">
        <w:rPr>
          <w:color w:val="000000"/>
        </w:rPr>
        <w:t xml:space="preserve">Interest from </w:t>
      </w:r>
      <w:r w:rsidR="008605A4">
        <w:rPr>
          <w:color w:val="000000"/>
        </w:rPr>
        <w:t>June</w:t>
      </w:r>
      <w:r>
        <w:rPr>
          <w:color w:val="000000"/>
        </w:rPr>
        <w:t xml:space="preserve"> </w:t>
      </w:r>
      <w:r w:rsidRPr="008115CE">
        <w:rPr>
          <w:color w:val="000000"/>
        </w:rPr>
        <w:t>3</w:t>
      </w:r>
      <w:r w:rsidR="008605A4">
        <w:rPr>
          <w:color w:val="000000"/>
        </w:rPr>
        <w:t>0</w:t>
      </w:r>
      <w:r w:rsidRPr="008115CE">
        <w:rPr>
          <w:color w:val="000000"/>
        </w:rPr>
        <w:t xml:space="preserve">, 2017 to </w:t>
      </w:r>
      <w:r w:rsidR="00952EA4">
        <w:rPr>
          <w:color w:val="000000"/>
        </w:rPr>
        <w:t>September</w:t>
      </w:r>
      <w:r w:rsidRPr="008115CE">
        <w:rPr>
          <w:color w:val="000000"/>
        </w:rPr>
        <w:t xml:space="preserve"> 3</w:t>
      </w:r>
      <w:r w:rsidR="00952EA4">
        <w:rPr>
          <w:color w:val="000000"/>
        </w:rPr>
        <w:t>0</w:t>
      </w:r>
      <w:r w:rsidR="00C876BA" w:rsidRPr="001344EE">
        <w:rPr>
          <w:color w:val="000000"/>
        </w:rPr>
        <w:t>, 2017</w:t>
      </w:r>
      <w:r w:rsidRPr="00C05949">
        <w:rPr>
          <w:color w:val="000000"/>
        </w:rPr>
        <w:t xml:space="preserve"> will continue to accrue and be paid at the interest rate provided in the Debentures on the maturity date.</w:t>
      </w:r>
    </w:p>
    <w:p w:rsidR="002C54A6" w:rsidRDefault="002C54A6" w:rsidP="00182B38">
      <w:pPr>
        <w:jc w:val="both"/>
        <w:rPr>
          <w:color w:val="000000"/>
        </w:rPr>
      </w:pPr>
      <w:proofErr w:type="spellStart"/>
      <w:r>
        <w:rPr>
          <w:color w:val="000000"/>
        </w:rPr>
        <w:t>Advantex</w:t>
      </w:r>
      <w:proofErr w:type="spellEnd"/>
      <w:r>
        <w:rPr>
          <w:color w:val="000000"/>
        </w:rPr>
        <w:t xml:space="preserve"> </w:t>
      </w:r>
      <w:r w:rsidR="008D384B">
        <w:rPr>
          <w:color w:val="000000"/>
        </w:rPr>
        <w:t>continues to be</w:t>
      </w:r>
      <w:r>
        <w:rPr>
          <w:color w:val="000000"/>
        </w:rPr>
        <w:t xml:space="preserve"> assisted by its exclusive financial advisor Trapeze Capital Corporation in its efforts to refinance the Debent</w:t>
      </w:r>
      <w:r w:rsidR="0012507E">
        <w:rPr>
          <w:color w:val="000000"/>
        </w:rPr>
        <w:t xml:space="preserve">ures and </w:t>
      </w:r>
      <w:r>
        <w:rPr>
          <w:color w:val="000000"/>
        </w:rPr>
        <w:t>seek growth funds to capitalize on</w:t>
      </w:r>
      <w:r w:rsidR="008F514A">
        <w:rPr>
          <w:color w:val="000000"/>
        </w:rPr>
        <w:t xml:space="preserve"> expansion opportunities.</w:t>
      </w:r>
    </w:p>
    <w:p w:rsidR="00CC223A" w:rsidRDefault="00CC223A" w:rsidP="00182B38">
      <w:pPr>
        <w:jc w:val="both"/>
        <w:rPr>
          <w:color w:val="000000"/>
        </w:rPr>
      </w:pPr>
      <w:r>
        <w:rPr>
          <w:color w:val="000000"/>
        </w:rPr>
        <w:t>As the extension m</w:t>
      </w:r>
      <w:r w:rsidR="00095715">
        <w:rPr>
          <w:color w:val="000000"/>
        </w:rPr>
        <w:t>a</w:t>
      </w:r>
      <w:r>
        <w:rPr>
          <w:color w:val="000000"/>
        </w:rPr>
        <w:t xml:space="preserve">y constitute a related party transaction pursuant to Multilateral Instrument 61-101 – </w:t>
      </w:r>
      <w:r w:rsidRPr="00CC223A">
        <w:rPr>
          <w:i/>
          <w:color w:val="000000"/>
        </w:rPr>
        <w:t>Protection of Minority Security Holders in Special Transactions</w:t>
      </w:r>
      <w:r>
        <w:rPr>
          <w:color w:val="000000"/>
        </w:rPr>
        <w:t xml:space="preserve"> (</w:t>
      </w:r>
      <w:r w:rsidRPr="00CC223A">
        <w:rPr>
          <w:b/>
          <w:color w:val="000000"/>
        </w:rPr>
        <w:t>MI 61-101</w:t>
      </w:r>
      <w:r>
        <w:rPr>
          <w:color w:val="000000"/>
        </w:rPr>
        <w:t>)</w:t>
      </w:r>
      <w:r w:rsidR="005C0A4D">
        <w:rPr>
          <w:color w:val="000000"/>
        </w:rPr>
        <w:t>, Advantex has relied on the financial hardship exemption from the formal valuation and minority approval requirements of MI 61-101.  As the extension will extend the repayment of the Debentures, the Board of directors of Advantex unanimously determined that the extension will improve the financial position of Advantex and that its terms are reasonable in the circumstances.</w:t>
      </w:r>
    </w:p>
    <w:p w:rsidR="002C54A6" w:rsidRDefault="002C54A6" w:rsidP="00182B38">
      <w:pPr>
        <w:jc w:val="both"/>
        <w:rPr>
          <w:color w:val="000000"/>
        </w:rPr>
      </w:pPr>
    </w:p>
    <w:p w:rsidR="006B5C86" w:rsidRPr="00012151" w:rsidRDefault="006B5C86" w:rsidP="006B5C86">
      <w:pPr>
        <w:rPr>
          <w:b/>
          <w:color w:val="000000"/>
        </w:rPr>
      </w:pPr>
      <w:r w:rsidRPr="00012151">
        <w:rPr>
          <w:b/>
          <w:color w:val="000000"/>
        </w:rPr>
        <w:t>About Advantex:</w:t>
      </w:r>
    </w:p>
    <w:p w:rsidR="006B5C86" w:rsidRPr="00012151" w:rsidRDefault="006B5C86" w:rsidP="004246D3">
      <w:pPr>
        <w:jc w:val="both"/>
        <w:rPr>
          <w:color w:val="000000"/>
        </w:rPr>
      </w:pPr>
      <w:r w:rsidRPr="00012151">
        <w:rPr>
          <w:color w:val="000000"/>
        </w:rPr>
        <w:t xml:space="preserve">Advantex provides specialized marketing programs that enable members of affinity groups to earn frequent-flyer miles and other loyalty rewards through purchases at participating merchants. </w:t>
      </w:r>
    </w:p>
    <w:p w:rsidR="006B5C86" w:rsidRPr="00012151" w:rsidRDefault="006B5C86" w:rsidP="004246D3">
      <w:pPr>
        <w:jc w:val="both"/>
        <w:rPr>
          <w:color w:val="000000"/>
        </w:rPr>
      </w:pPr>
      <w:r w:rsidRPr="00012151">
        <w:rPr>
          <w:color w:val="000000"/>
        </w:rPr>
        <w:t xml:space="preserve">Through our partnerships with Aeroplan, Toronto-Dominion Bank, Canadian Imperial Bank of Commerce and Caesars Entertainment, we have contractual access to millions of consumers with above-average personal and household income. We also have partnerships with </w:t>
      </w:r>
      <w:r w:rsidR="00AB3BD3">
        <w:rPr>
          <w:color w:val="000000"/>
        </w:rPr>
        <w:t>about</w:t>
      </w:r>
      <w:r w:rsidR="009130C9">
        <w:rPr>
          <w:color w:val="000000"/>
        </w:rPr>
        <w:t xml:space="preserve"> </w:t>
      </w:r>
      <w:r w:rsidR="004437B9">
        <w:rPr>
          <w:color w:val="000000"/>
        </w:rPr>
        <w:t>1,100</w:t>
      </w:r>
      <w:r w:rsidR="009130C9">
        <w:rPr>
          <w:color w:val="000000"/>
        </w:rPr>
        <w:t xml:space="preserve"> </w:t>
      </w:r>
      <w:r w:rsidRPr="00012151">
        <w:rPr>
          <w:color w:val="000000"/>
        </w:rPr>
        <w:t>merchants in Canada and the US.</w:t>
      </w:r>
    </w:p>
    <w:p w:rsidR="006B5C86" w:rsidRDefault="006B5C86" w:rsidP="004246D3">
      <w:pPr>
        <w:jc w:val="both"/>
        <w:rPr>
          <w:color w:val="000000"/>
        </w:rPr>
      </w:pPr>
      <w:r w:rsidRPr="00012151">
        <w:rPr>
          <w:color w:val="000000"/>
        </w:rPr>
        <w:t xml:space="preserve">Advantex shares trade on the Canadian Securities Exchange under the symbol ADX. For more information, go to </w:t>
      </w:r>
      <w:hyperlink r:id="rId9" w:history="1">
        <w:r w:rsidRPr="00012151">
          <w:rPr>
            <w:rStyle w:val="Hyperlink"/>
          </w:rPr>
          <w:t>www.advantex.com</w:t>
        </w:r>
      </w:hyperlink>
      <w:r w:rsidRPr="00012151">
        <w:rPr>
          <w:color w:val="000000"/>
        </w:rPr>
        <w:t>.</w:t>
      </w:r>
    </w:p>
    <w:p w:rsidR="007B7281" w:rsidRDefault="007B7281" w:rsidP="006B5C86">
      <w:pPr>
        <w:rPr>
          <w:color w:val="000000"/>
        </w:rPr>
      </w:pPr>
    </w:p>
    <w:p w:rsidR="007B7281" w:rsidRPr="00365C92" w:rsidRDefault="007B7281" w:rsidP="007B7281">
      <w:pPr>
        <w:jc w:val="both"/>
        <w:rPr>
          <w:b/>
          <w:bCs/>
          <w:color w:val="000000"/>
        </w:rPr>
      </w:pPr>
      <w:r w:rsidRPr="000C5AC8">
        <w:rPr>
          <w:b/>
          <w:bCs/>
          <w:color w:val="000000"/>
        </w:rPr>
        <w:t xml:space="preserve">Forward-Looking Information </w:t>
      </w:r>
    </w:p>
    <w:p w:rsidR="00D14F86" w:rsidRDefault="00D14F86" w:rsidP="00D14F86">
      <w:pPr>
        <w:jc w:val="both"/>
      </w:pPr>
      <w:r>
        <w:t>This news release contains “forward-looking statements” within the meaning of applicable securities laws relating to the future business and operations of Advantex, including relating to</w:t>
      </w:r>
      <w:r w:rsidR="00095715">
        <w:t xml:space="preserve"> repayment of</w:t>
      </w:r>
      <w:r w:rsidR="009125B3">
        <w:t xml:space="preserve"> </w:t>
      </w:r>
      <w:r w:rsidR="00341A84">
        <w:t>Debentures</w:t>
      </w:r>
      <w:r w:rsidR="008115CE">
        <w:t>, the payment of interest</w:t>
      </w:r>
      <w:proofErr w:type="gramStart"/>
      <w:r w:rsidR="008115CE">
        <w:t>,</w:t>
      </w:r>
      <w:r w:rsidR="00BD5622">
        <w:t xml:space="preserve"> </w:t>
      </w:r>
      <w:r w:rsidR="008F514A">
        <w:t xml:space="preserve"> and</w:t>
      </w:r>
      <w:proofErr w:type="gramEnd"/>
      <w:r w:rsidR="008F514A">
        <w:t xml:space="preserve"> outcome of efforts to recapitalize.</w:t>
      </w:r>
      <w:r w:rsidR="009125B3">
        <w:t xml:space="preserve"> </w:t>
      </w:r>
      <w:r>
        <w:t xml:space="preserve">Readers are cautioned not to place undue reliance on forward-looking statements. Actual results and developments may differ materially from </w:t>
      </w:r>
      <w:r>
        <w:lastRenderedPageBreak/>
        <w:t>those contemplated by these statements. The business and operations of Advantex described herein is dependent on a number of factors and is subject to a number of risks and uncertainties. Factors that could cause actual results to differ materially include</w:t>
      </w:r>
      <w:r w:rsidRPr="002A73F6">
        <w:t xml:space="preserve"> </w:t>
      </w:r>
      <w:r w:rsidRPr="00CE6A50">
        <w:t xml:space="preserve">those listed under </w:t>
      </w:r>
      <w:r w:rsidR="00347FA1">
        <w:t xml:space="preserve">“Working Capital and Liquidity Management”, </w:t>
      </w:r>
      <w:r w:rsidRPr="00CE6A50">
        <w:t xml:space="preserve">“General Risks and Uncertainties” and “Economic Dependence” in Advantex’s Management’s Discussion and Analysis for the </w:t>
      </w:r>
      <w:r w:rsidR="004437B9">
        <w:t xml:space="preserve">three and </w:t>
      </w:r>
      <w:r w:rsidR="00185849">
        <w:t>nine months</w:t>
      </w:r>
      <w:r w:rsidR="000C6589">
        <w:t xml:space="preserve"> ended </w:t>
      </w:r>
      <w:r w:rsidR="004437B9">
        <w:t>March</w:t>
      </w:r>
      <w:r w:rsidR="000C6589">
        <w:t xml:space="preserve"> 3</w:t>
      </w:r>
      <w:r w:rsidR="008D384B">
        <w:t>1</w:t>
      </w:r>
      <w:r>
        <w:t>, 201</w:t>
      </w:r>
      <w:r w:rsidR="004437B9">
        <w:t>7</w:t>
      </w:r>
      <w:r w:rsidRPr="00CE6A50">
        <w:t>.</w:t>
      </w:r>
      <w:r>
        <w:t xml:space="preserve"> </w:t>
      </w:r>
    </w:p>
    <w:p w:rsidR="00D14F86" w:rsidRDefault="00D14F86" w:rsidP="00D14F86">
      <w:pPr>
        <w:jc w:val="both"/>
      </w:pPr>
      <w:r>
        <w:t xml:space="preserve">The statements in this news release are made as of the date of this release. Forward-looking statements are made based on management’s beliefs, estimates and opinions on the date the statements are made and Advantex undertakes no obligation to update forward-looking statements if these beliefs, estimates and opinions or other circumstances should change, except as required by applicable law. </w:t>
      </w:r>
    </w:p>
    <w:p w:rsidR="000C6589" w:rsidRDefault="000C6589" w:rsidP="00D14F86">
      <w:pPr>
        <w:jc w:val="both"/>
      </w:pPr>
    </w:p>
    <w:p w:rsidR="000C6589" w:rsidRPr="00CE6A50" w:rsidRDefault="000C6589" w:rsidP="00D14F86">
      <w:pPr>
        <w:jc w:val="both"/>
      </w:pPr>
    </w:p>
    <w:p w:rsidR="000C6589" w:rsidRPr="00012151" w:rsidRDefault="000C6589" w:rsidP="000C6589">
      <w:pPr>
        <w:rPr>
          <w:b/>
          <w:color w:val="000000"/>
        </w:rPr>
      </w:pPr>
      <w:r w:rsidRPr="00012151">
        <w:rPr>
          <w:b/>
          <w:color w:val="000000"/>
        </w:rPr>
        <w:t xml:space="preserve">Contact: </w:t>
      </w:r>
    </w:p>
    <w:p w:rsidR="000C6589" w:rsidRDefault="000C6589" w:rsidP="000C6589">
      <w:pPr>
        <w:spacing w:after="0"/>
        <w:rPr>
          <w:color w:val="000000"/>
        </w:rPr>
      </w:pPr>
      <w:r>
        <w:rPr>
          <w:color w:val="000000"/>
        </w:rPr>
        <w:t>Advantex Marketing International Inc.</w:t>
      </w:r>
    </w:p>
    <w:p w:rsidR="000C6589" w:rsidRPr="00012151" w:rsidRDefault="000C6589" w:rsidP="000C6589">
      <w:pPr>
        <w:spacing w:after="0"/>
        <w:rPr>
          <w:color w:val="000000"/>
        </w:rPr>
      </w:pPr>
      <w:r w:rsidRPr="00012151">
        <w:rPr>
          <w:color w:val="000000"/>
        </w:rPr>
        <w:t>Mukesh Sabharwal</w:t>
      </w:r>
    </w:p>
    <w:p w:rsidR="000C6589" w:rsidRPr="00012151" w:rsidRDefault="000C6589" w:rsidP="000C6589">
      <w:pPr>
        <w:spacing w:after="0"/>
        <w:rPr>
          <w:color w:val="000000"/>
        </w:rPr>
      </w:pPr>
      <w:r w:rsidRPr="00012151">
        <w:rPr>
          <w:color w:val="000000"/>
        </w:rPr>
        <w:t>Vice-President and Chief Financial Officer</w:t>
      </w:r>
    </w:p>
    <w:p w:rsidR="000C6589" w:rsidRPr="00012151" w:rsidRDefault="000C6589" w:rsidP="000C6589">
      <w:pPr>
        <w:spacing w:after="0"/>
        <w:rPr>
          <w:color w:val="000000"/>
        </w:rPr>
      </w:pPr>
      <w:r w:rsidRPr="00012151">
        <w:rPr>
          <w:color w:val="000000"/>
        </w:rPr>
        <w:t>Tel: 905-470-9558 ext. 249</w:t>
      </w:r>
    </w:p>
    <w:p w:rsidR="000C6589" w:rsidRDefault="000C6589" w:rsidP="000C6589">
      <w:pPr>
        <w:spacing w:after="0"/>
        <w:rPr>
          <w:rStyle w:val="Hyperlink"/>
          <w:sz w:val="24"/>
          <w:szCs w:val="24"/>
        </w:rPr>
      </w:pPr>
      <w:r w:rsidRPr="00012151">
        <w:rPr>
          <w:color w:val="000000"/>
          <w:sz w:val="24"/>
          <w:szCs w:val="24"/>
        </w:rPr>
        <w:t xml:space="preserve">Email: </w:t>
      </w:r>
      <w:hyperlink r:id="rId10" w:history="1">
        <w:r w:rsidRPr="00012151">
          <w:rPr>
            <w:rStyle w:val="Hyperlink"/>
            <w:sz w:val="24"/>
            <w:szCs w:val="24"/>
          </w:rPr>
          <w:t>mukesh.sabharwal@advantex.com</w:t>
        </w:r>
      </w:hyperlink>
    </w:p>
    <w:p w:rsidR="00D40B8D" w:rsidRPr="00012151" w:rsidRDefault="00D40B8D" w:rsidP="000C6589">
      <w:pPr>
        <w:autoSpaceDE w:val="0"/>
        <w:autoSpaceDN w:val="0"/>
        <w:adjustRightInd w:val="0"/>
        <w:spacing w:after="0" w:line="240" w:lineRule="auto"/>
        <w:rPr>
          <w:sz w:val="24"/>
          <w:szCs w:val="24"/>
        </w:rPr>
      </w:pPr>
    </w:p>
    <w:sectPr w:rsidR="00D40B8D" w:rsidRPr="00012151" w:rsidSect="001669D9">
      <w:headerReference w:type="default" r:id="rId11"/>
      <w:footerReference w:type="default" r:id="rId12"/>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4FC" w:rsidRDefault="00B904FC" w:rsidP="00EF0E44">
      <w:pPr>
        <w:spacing w:after="0" w:line="240" w:lineRule="auto"/>
      </w:pPr>
      <w:r>
        <w:separator/>
      </w:r>
    </w:p>
  </w:endnote>
  <w:endnote w:type="continuationSeparator" w:id="0">
    <w:p w:rsidR="00B904FC" w:rsidRDefault="00B904FC" w:rsidP="00EF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44" w:rsidRDefault="00EF0E44">
    <w:pPr>
      <w:pStyle w:val="Footer"/>
    </w:pPr>
    <w:r>
      <w:rPr>
        <w:noProof/>
        <w:sz w:val="20"/>
        <w:lang w:eastAsia="en-CA"/>
      </w:rPr>
      <mc:AlternateContent>
        <mc:Choice Requires="wps">
          <w:drawing>
            <wp:anchor distT="0" distB="0" distL="114300" distR="114300" simplePos="0" relativeHeight="251659264" behindDoc="0" locked="1" layoutInCell="0" allowOverlap="1">
              <wp:simplePos x="0" y="0"/>
              <wp:positionH relativeFrom="margin">
                <wp:posOffset>0</wp:posOffset>
              </wp:positionH>
              <wp:positionV relativeFrom="paragraph">
                <wp:posOffset>137160</wp:posOffset>
              </wp:positionV>
              <wp:extent cx="5943600" cy="228600"/>
              <wp:effectExtent l="0" t="0" r="0" b="0"/>
              <wp:wrapNone/>
              <wp:docPr id="12" name="DocsID_PF4264244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E44" w:rsidRPr="00C55343" w:rsidRDefault="00EF0E44">
                          <w:pPr>
                            <w:pStyle w:val="DocsID"/>
                          </w:pPr>
                          <w:r>
                            <w:t>20351861.1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64244381" o:spid="_x0000_s1026" type="#_x0000_t202" style="position:absolute;margin-left:0;margin-top:10.8pt;width:46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" o:allowincell="f" filled="f" stroked="f">
              <v:textbox inset="0,0,0,0">
                <w:txbxContent>
                  <w:p w:rsidR="00EF0E44" w:rsidRPr="00C55343" w:rsidRDefault="00EF0E44">
                    <w:pPr>
                      <w:pStyle w:val="DocsID"/>
                    </w:pPr>
                    <w:r>
                      <w:t>20351861.1</w:t>
                    </w:r>
                  </w:p>
                </w:txbxContent>
              </v:textbox>
              <w10:wrap anchorx="margin"/>
              <w10:anchorlock/>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4FC" w:rsidRDefault="00B904FC" w:rsidP="00EF0E44">
      <w:pPr>
        <w:spacing w:after="0" w:line="240" w:lineRule="auto"/>
      </w:pPr>
      <w:r>
        <w:separator/>
      </w:r>
    </w:p>
  </w:footnote>
  <w:footnote w:type="continuationSeparator" w:id="0">
    <w:p w:rsidR="00B904FC" w:rsidRDefault="00B904FC" w:rsidP="00EF0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44" w:rsidRDefault="00EF0E4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D11F3"/>
    <w:multiLevelType w:val="hybridMultilevel"/>
    <w:tmpl w:val="99CE150E"/>
    <w:lvl w:ilvl="0" w:tplc="9E8A8902">
      <w:numFmt w:val="bullet"/>
      <w:lvlText w:val="-"/>
      <w:lvlJc w:val="left"/>
      <w:pPr>
        <w:ind w:left="1035" w:hanging="360"/>
      </w:pPr>
      <w:rPr>
        <w:rFonts w:ascii="Cambria" w:eastAsia="Calibri" w:hAnsi="Cambria" w:cs="Times New Roman" w:hint="default"/>
      </w:rPr>
    </w:lvl>
    <w:lvl w:ilvl="1" w:tplc="10090003" w:tentative="1">
      <w:start w:val="1"/>
      <w:numFmt w:val="bullet"/>
      <w:lvlText w:val="o"/>
      <w:lvlJc w:val="left"/>
      <w:pPr>
        <w:ind w:left="1755" w:hanging="360"/>
      </w:pPr>
      <w:rPr>
        <w:rFonts w:ascii="Courier New" w:hAnsi="Courier New" w:cs="Courier New" w:hint="default"/>
      </w:rPr>
    </w:lvl>
    <w:lvl w:ilvl="2" w:tplc="10090005" w:tentative="1">
      <w:start w:val="1"/>
      <w:numFmt w:val="bullet"/>
      <w:lvlText w:val=""/>
      <w:lvlJc w:val="left"/>
      <w:pPr>
        <w:ind w:left="2475" w:hanging="360"/>
      </w:pPr>
      <w:rPr>
        <w:rFonts w:ascii="Wingdings" w:hAnsi="Wingdings" w:hint="default"/>
      </w:rPr>
    </w:lvl>
    <w:lvl w:ilvl="3" w:tplc="10090001" w:tentative="1">
      <w:start w:val="1"/>
      <w:numFmt w:val="bullet"/>
      <w:lvlText w:val=""/>
      <w:lvlJc w:val="left"/>
      <w:pPr>
        <w:ind w:left="3195" w:hanging="360"/>
      </w:pPr>
      <w:rPr>
        <w:rFonts w:ascii="Symbol" w:hAnsi="Symbol" w:hint="default"/>
      </w:rPr>
    </w:lvl>
    <w:lvl w:ilvl="4" w:tplc="10090003" w:tentative="1">
      <w:start w:val="1"/>
      <w:numFmt w:val="bullet"/>
      <w:lvlText w:val="o"/>
      <w:lvlJc w:val="left"/>
      <w:pPr>
        <w:ind w:left="3915" w:hanging="360"/>
      </w:pPr>
      <w:rPr>
        <w:rFonts w:ascii="Courier New" w:hAnsi="Courier New" w:cs="Courier New" w:hint="default"/>
      </w:rPr>
    </w:lvl>
    <w:lvl w:ilvl="5" w:tplc="10090005" w:tentative="1">
      <w:start w:val="1"/>
      <w:numFmt w:val="bullet"/>
      <w:lvlText w:val=""/>
      <w:lvlJc w:val="left"/>
      <w:pPr>
        <w:ind w:left="4635" w:hanging="360"/>
      </w:pPr>
      <w:rPr>
        <w:rFonts w:ascii="Wingdings" w:hAnsi="Wingdings" w:hint="default"/>
      </w:rPr>
    </w:lvl>
    <w:lvl w:ilvl="6" w:tplc="10090001" w:tentative="1">
      <w:start w:val="1"/>
      <w:numFmt w:val="bullet"/>
      <w:lvlText w:val=""/>
      <w:lvlJc w:val="left"/>
      <w:pPr>
        <w:ind w:left="5355" w:hanging="360"/>
      </w:pPr>
      <w:rPr>
        <w:rFonts w:ascii="Symbol" w:hAnsi="Symbol" w:hint="default"/>
      </w:rPr>
    </w:lvl>
    <w:lvl w:ilvl="7" w:tplc="10090003" w:tentative="1">
      <w:start w:val="1"/>
      <w:numFmt w:val="bullet"/>
      <w:lvlText w:val="o"/>
      <w:lvlJc w:val="left"/>
      <w:pPr>
        <w:ind w:left="6075" w:hanging="360"/>
      </w:pPr>
      <w:rPr>
        <w:rFonts w:ascii="Courier New" w:hAnsi="Courier New" w:cs="Courier New" w:hint="default"/>
      </w:rPr>
    </w:lvl>
    <w:lvl w:ilvl="8" w:tplc="10090005" w:tentative="1">
      <w:start w:val="1"/>
      <w:numFmt w:val="bullet"/>
      <w:lvlText w:val=""/>
      <w:lvlJc w:val="left"/>
      <w:pPr>
        <w:ind w:left="67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86"/>
    <w:rsid w:val="00012151"/>
    <w:rsid w:val="000250C1"/>
    <w:rsid w:val="00052628"/>
    <w:rsid w:val="00053217"/>
    <w:rsid w:val="00065E79"/>
    <w:rsid w:val="00070E7D"/>
    <w:rsid w:val="000812A3"/>
    <w:rsid w:val="00082D80"/>
    <w:rsid w:val="00091819"/>
    <w:rsid w:val="00095715"/>
    <w:rsid w:val="000A72E8"/>
    <w:rsid w:val="000C5AC8"/>
    <w:rsid w:val="000C6589"/>
    <w:rsid w:val="000D764F"/>
    <w:rsid w:val="000E1F24"/>
    <w:rsid w:val="000F7DBF"/>
    <w:rsid w:val="00100CDC"/>
    <w:rsid w:val="0011510B"/>
    <w:rsid w:val="0012507E"/>
    <w:rsid w:val="00127B9B"/>
    <w:rsid w:val="00130756"/>
    <w:rsid w:val="001344EE"/>
    <w:rsid w:val="00145C78"/>
    <w:rsid w:val="00154750"/>
    <w:rsid w:val="001669D9"/>
    <w:rsid w:val="00167B1E"/>
    <w:rsid w:val="001776C9"/>
    <w:rsid w:val="00182B38"/>
    <w:rsid w:val="00185849"/>
    <w:rsid w:val="00187D3B"/>
    <w:rsid w:val="001A08B8"/>
    <w:rsid w:val="001D7C68"/>
    <w:rsid w:val="00203D87"/>
    <w:rsid w:val="002420F3"/>
    <w:rsid w:val="002454C6"/>
    <w:rsid w:val="00250C51"/>
    <w:rsid w:val="00254970"/>
    <w:rsid w:val="002C3A1B"/>
    <w:rsid w:val="002C4C4D"/>
    <w:rsid w:val="002C54A6"/>
    <w:rsid w:val="003105F5"/>
    <w:rsid w:val="00341A84"/>
    <w:rsid w:val="00347FA1"/>
    <w:rsid w:val="0036495C"/>
    <w:rsid w:val="003655B6"/>
    <w:rsid w:val="00387DBB"/>
    <w:rsid w:val="003A14BD"/>
    <w:rsid w:val="003B568D"/>
    <w:rsid w:val="003C3971"/>
    <w:rsid w:val="003D4D13"/>
    <w:rsid w:val="003F2A2C"/>
    <w:rsid w:val="003F7B23"/>
    <w:rsid w:val="0040319D"/>
    <w:rsid w:val="004246D3"/>
    <w:rsid w:val="004250EA"/>
    <w:rsid w:val="0043359E"/>
    <w:rsid w:val="004437B9"/>
    <w:rsid w:val="00456637"/>
    <w:rsid w:val="00457692"/>
    <w:rsid w:val="00461954"/>
    <w:rsid w:val="00461B8F"/>
    <w:rsid w:val="004705D4"/>
    <w:rsid w:val="00481A6C"/>
    <w:rsid w:val="00483DB4"/>
    <w:rsid w:val="00490413"/>
    <w:rsid w:val="00492154"/>
    <w:rsid w:val="004E202B"/>
    <w:rsid w:val="00501AAB"/>
    <w:rsid w:val="00530527"/>
    <w:rsid w:val="00567703"/>
    <w:rsid w:val="00577BE0"/>
    <w:rsid w:val="005B5444"/>
    <w:rsid w:val="005C0A4D"/>
    <w:rsid w:val="005E4F7D"/>
    <w:rsid w:val="00620811"/>
    <w:rsid w:val="00620A8C"/>
    <w:rsid w:val="00623860"/>
    <w:rsid w:val="00631F72"/>
    <w:rsid w:val="00632015"/>
    <w:rsid w:val="006366C9"/>
    <w:rsid w:val="00664413"/>
    <w:rsid w:val="00667B2C"/>
    <w:rsid w:val="006A5733"/>
    <w:rsid w:val="006B5C86"/>
    <w:rsid w:val="006E35A2"/>
    <w:rsid w:val="00715C88"/>
    <w:rsid w:val="00726D28"/>
    <w:rsid w:val="007A3A29"/>
    <w:rsid w:val="007B5BA1"/>
    <w:rsid w:val="007B7281"/>
    <w:rsid w:val="007C7D72"/>
    <w:rsid w:val="007D0BD8"/>
    <w:rsid w:val="007D5EB8"/>
    <w:rsid w:val="007E2614"/>
    <w:rsid w:val="007E3C3D"/>
    <w:rsid w:val="007F0733"/>
    <w:rsid w:val="007F0CD2"/>
    <w:rsid w:val="008115CE"/>
    <w:rsid w:val="008318D0"/>
    <w:rsid w:val="0083725F"/>
    <w:rsid w:val="0084314A"/>
    <w:rsid w:val="0085190E"/>
    <w:rsid w:val="008605A4"/>
    <w:rsid w:val="008A089B"/>
    <w:rsid w:val="008B1FFF"/>
    <w:rsid w:val="008B353D"/>
    <w:rsid w:val="008B6C7B"/>
    <w:rsid w:val="008D120D"/>
    <w:rsid w:val="008D384B"/>
    <w:rsid w:val="008D4E20"/>
    <w:rsid w:val="008F09ED"/>
    <w:rsid w:val="008F514A"/>
    <w:rsid w:val="00903640"/>
    <w:rsid w:val="009125B3"/>
    <w:rsid w:val="009130C9"/>
    <w:rsid w:val="00933813"/>
    <w:rsid w:val="009360A6"/>
    <w:rsid w:val="00945B9D"/>
    <w:rsid w:val="00952EA4"/>
    <w:rsid w:val="009564CE"/>
    <w:rsid w:val="00970620"/>
    <w:rsid w:val="00972D01"/>
    <w:rsid w:val="009735B3"/>
    <w:rsid w:val="00993848"/>
    <w:rsid w:val="009B2408"/>
    <w:rsid w:val="009B3866"/>
    <w:rsid w:val="009B4572"/>
    <w:rsid w:val="009C06E0"/>
    <w:rsid w:val="009D3DF8"/>
    <w:rsid w:val="009E1DA5"/>
    <w:rsid w:val="009F5B08"/>
    <w:rsid w:val="009F7C1A"/>
    <w:rsid w:val="00A07247"/>
    <w:rsid w:val="00A249BC"/>
    <w:rsid w:val="00A31B26"/>
    <w:rsid w:val="00A31E3F"/>
    <w:rsid w:val="00A430D4"/>
    <w:rsid w:val="00A56949"/>
    <w:rsid w:val="00AB3BD3"/>
    <w:rsid w:val="00AB5656"/>
    <w:rsid w:val="00AC09F8"/>
    <w:rsid w:val="00AD195A"/>
    <w:rsid w:val="00B002E6"/>
    <w:rsid w:val="00B0470F"/>
    <w:rsid w:val="00B22DC6"/>
    <w:rsid w:val="00B27BC8"/>
    <w:rsid w:val="00B379C4"/>
    <w:rsid w:val="00B541C1"/>
    <w:rsid w:val="00B67FE8"/>
    <w:rsid w:val="00B768C6"/>
    <w:rsid w:val="00B86F04"/>
    <w:rsid w:val="00B904FC"/>
    <w:rsid w:val="00B9301B"/>
    <w:rsid w:val="00BA51D2"/>
    <w:rsid w:val="00BB0ABF"/>
    <w:rsid w:val="00BD5622"/>
    <w:rsid w:val="00C05949"/>
    <w:rsid w:val="00C10872"/>
    <w:rsid w:val="00C20B47"/>
    <w:rsid w:val="00C2571B"/>
    <w:rsid w:val="00C350E9"/>
    <w:rsid w:val="00C448AE"/>
    <w:rsid w:val="00C46B90"/>
    <w:rsid w:val="00C70185"/>
    <w:rsid w:val="00C876BA"/>
    <w:rsid w:val="00CC223A"/>
    <w:rsid w:val="00D14F86"/>
    <w:rsid w:val="00D351D5"/>
    <w:rsid w:val="00D40B8D"/>
    <w:rsid w:val="00D42F04"/>
    <w:rsid w:val="00D47192"/>
    <w:rsid w:val="00D507C9"/>
    <w:rsid w:val="00D610F2"/>
    <w:rsid w:val="00D64105"/>
    <w:rsid w:val="00D82B9B"/>
    <w:rsid w:val="00D87226"/>
    <w:rsid w:val="00D87F0F"/>
    <w:rsid w:val="00D945ED"/>
    <w:rsid w:val="00DA16C6"/>
    <w:rsid w:val="00DB7005"/>
    <w:rsid w:val="00DC572B"/>
    <w:rsid w:val="00DE28F3"/>
    <w:rsid w:val="00DF3321"/>
    <w:rsid w:val="00DF554C"/>
    <w:rsid w:val="00DF62F3"/>
    <w:rsid w:val="00E063A3"/>
    <w:rsid w:val="00E36F8D"/>
    <w:rsid w:val="00E82A7E"/>
    <w:rsid w:val="00EA1C96"/>
    <w:rsid w:val="00EA65BA"/>
    <w:rsid w:val="00EB2B31"/>
    <w:rsid w:val="00EF0E44"/>
    <w:rsid w:val="00EF4DA9"/>
    <w:rsid w:val="00F17517"/>
    <w:rsid w:val="00F33228"/>
    <w:rsid w:val="00F41995"/>
    <w:rsid w:val="00F423BE"/>
    <w:rsid w:val="00F73FDA"/>
    <w:rsid w:val="00F75BDB"/>
    <w:rsid w:val="00FB1E70"/>
    <w:rsid w:val="00FD7E1F"/>
    <w:rsid w:val="00FE4168"/>
    <w:rsid w:val="00FF454F"/>
    <w:rsid w:val="00FF61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42FA0B-3F19-431E-90A2-20EFB501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C86"/>
    <w:rPr>
      <w:color w:val="0000FF"/>
      <w:u w:val="single"/>
    </w:rPr>
  </w:style>
  <w:style w:type="table" w:styleId="TableGrid">
    <w:name w:val="Table Grid"/>
    <w:basedOn w:val="TableNormal"/>
    <w:uiPriority w:val="39"/>
    <w:rsid w:val="0020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DA5"/>
    <w:pPr>
      <w:ind w:left="720"/>
      <w:contextualSpacing/>
    </w:pPr>
  </w:style>
  <w:style w:type="paragraph" w:styleId="BalloonText">
    <w:name w:val="Balloon Text"/>
    <w:basedOn w:val="Normal"/>
    <w:link w:val="BalloonTextChar"/>
    <w:uiPriority w:val="99"/>
    <w:semiHidden/>
    <w:unhideWhenUsed/>
    <w:rsid w:val="0009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19"/>
    <w:rPr>
      <w:rFonts w:ascii="Segoe UI" w:hAnsi="Segoe UI" w:cs="Segoe UI"/>
      <w:sz w:val="18"/>
      <w:szCs w:val="18"/>
    </w:rPr>
  </w:style>
  <w:style w:type="paragraph" w:styleId="Revision">
    <w:name w:val="Revision"/>
    <w:hidden/>
    <w:uiPriority w:val="99"/>
    <w:semiHidden/>
    <w:rsid w:val="002420F3"/>
    <w:pPr>
      <w:spacing w:after="0" w:line="240" w:lineRule="auto"/>
    </w:pPr>
  </w:style>
  <w:style w:type="paragraph" w:customStyle="1" w:styleId="Default">
    <w:name w:val="Default"/>
    <w:rsid w:val="001669D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
    <w:name w:val="Body Text"/>
    <w:basedOn w:val="Normal"/>
    <w:link w:val="BodyTextChar"/>
    <w:unhideWhenUsed/>
    <w:qFormat/>
    <w:rsid w:val="001669D9"/>
    <w:pPr>
      <w:spacing w:after="240" w:line="240" w:lineRule="atLeast"/>
    </w:pPr>
    <w:rPr>
      <w:rFonts w:ascii="Georgia" w:eastAsia="Calibri" w:hAnsi="Georgia" w:cs="Times New Roman"/>
      <w:sz w:val="20"/>
      <w:szCs w:val="20"/>
      <w:lang w:val="en-GB" w:eastAsia="x-none"/>
    </w:rPr>
  </w:style>
  <w:style w:type="character" w:customStyle="1" w:styleId="BodyTextChar">
    <w:name w:val="Body Text Char"/>
    <w:basedOn w:val="DefaultParagraphFont"/>
    <w:link w:val="BodyText"/>
    <w:rsid w:val="001669D9"/>
    <w:rPr>
      <w:rFonts w:ascii="Georgia" w:eastAsia="Calibri" w:hAnsi="Georgia" w:cs="Times New Roman"/>
      <w:sz w:val="20"/>
      <w:szCs w:val="20"/>
      <w:lang w:val="en-GB" w:eastAsia="x-none"/>
    </w:rPr>
  </w:style>
  <w:style w:type="paragraph" w:styleId="Header">
    <w:name w:val="header"/>
    <w:basedOn w:val="Normal"/>
    <w:link w:val="HeaderChar"/>
    <w:uiPriority w:val="99"/>
    <w:unhideWhenUsed/>
    <w:rsid w:val="00EF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E44"/>
  </w:style>
  <w:style w:type="paragraph" w:styleId="Footer">
    <w:name w:val="footer"/>
    <w:basedOn w:val="Normal"/>
    <w:link w:val="FooterChar"/>
    <w:uiPriority w:val="99"/>
    <w:unhideWhenUsed/>
    <w:rsid w:val="00EF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E44"/>
  </w:style>
  <w:style w:type="paragraph" w:customStyle="1" w:styleId="DocsID">
    <w:name w:val="DocsID"/>
    <w:basedOn w:val="Normal"/>
    <w:rsid w:val="00EF0E44"/>
    <w:pPr>
      <w:spacing w:before="20" w:after="0" w:line="240" w:lineRule="auto"/>
    </w:pPr>
    <w:rPr>
      <w:rFonts w:ascii="Arial" w:eastAsia="Times New Roman" w:hAnsi="Arial" w:cs="Arial"/>
      <w:color w:val="00008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ukesh.sabharwal@advantex.com" TargetMode="External"/><Relationship Id="rId4" Type="http://schemas.openxmlformats.org/officeDocument/2006/relationships/settings" Target="settings.xml"/><Relationship Id="rId9" Type="http://schemas.openxmlformats.org/officeDocument/2006/relationships/hyperlink" Target="http://www.advant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ACD16-DF24-4C1D-8531-D0C877B1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Mukesh Sabharwal</cp:lastModifiedBy>
  <cp:revision>4</cp:revision>
  <dcterms:created xsi:type="dcterms:W3CDTF">2017-06-28T20:16:00Z</dcterms:created>
  <dcterms:modified xsi:type="dcterms:W3CDTF">2017-06-28T20:19:00Z</dcterms:modified>
</cp:coreProperties>
</file>