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6F" w:rsidRPr="00253C6F" w:rsidRDefault="00253C6F" w:rsidP="00253C6F">
      <w:pPr>
        <w:spacing w:after="0" w:line="240" w:lineRule="auto"/>
        <w:ind w:firstLine="720"/>
        <w:rPr>
          <w:rFonts w:ascii="Times New Roman" w:eastAsia="Times New Roman" w:hAnsi="Times New Roman" w:cs="Times New Roman"/>
          <w:b/>
          <w:bCs/>
          <w:smallCaps/>
          <w:sz w:val="24"/>
          <w:szCs w:val="24"/>
        </w:rPr>
      </w:pPr>
    </w:p>
    <w:p w:rsidR="00253C6F" w:rsidRPr="00253C6F" w:rsidRDefault="00253C6F" w:rsidP="00253C6F">
      <w:pPr>
        <w:tabs>
          <w:tab w:val="left" w:pos="-1440"/>
        </w:tabs>
        <w:spacing w:after="0" w:line="240" w:lineRule="auto"/>
        <w:ind w:left="720" w:hanging="720"/>
        <w:jc w:val="both"/>
        <w:rPr>
          <w:rFonts w:ascii="Times New Roman" w:eastAsia="Times New Roman" w:hAnsi="Times New Roman" w:cs="Times New Roman"/>
        </w:rPr>
      </w:pPr>
      <w:r w:rsidRPr="00253C6F">
        <w:rPr>
          <w:rFonts w:ascii="Times New Roman" w:eastAsia="Times New Roman" w:hAnsi="Times New Roman" w:cs="Times New Roman"/>
        </w:rPr>
        <w:t>1.1</w:t>
      </w:r>
      <w:r w:rsidRPr="00253C6F">
        <w:rPr>
          <w:rFonts w:ascii="Times New Roman" w:eastAsia="Times New Roman" w:hAnsi="Times New Roman" w:cs="Times New Roman"/>
        </w:rPr>
        <w:tab/>
      </w:r>
      <w:r w:rsidRPr="00253C6F">
        <w:rPr>
          <w:rFonts w:ascii="Times New Roman" w:eastAsia="Times New Roman" w:hAnsi="Times New Roman" w:cs="Times New Roman"/>
          <w:b/>
          <w:bCs/>
          <w:u w:val="single"/>
        </w:rPr>
        <w:t>Date of Report</w:t>
      </w:r>
    </w:p>
    <w:p w:rsidR="00253C6F" w:rsidRPr="00253C6F" w:rsidRDefault="00253C6F" w:rsidP="00253C6F">
      <w:pPr>
        <w:spacing w:after="0" w:line="240" w:lineRule="auto"/>
        <w:jc w:val="both"/>
        <w:rPr>
          <w:rFonts w:ascii="Times New Roman" w:eastAsia="Times New Roman" w:hAnsi="Times New Roman" w:cs="Times New Roman"/>
        </w:rPr>
      </w:pPr>
    </w:p>
    <w:p w:rsidR="00E21118" w:rsidRPr="00253C6F" w:rsidRDefault="00E21118" w:rsidP="00E21118">
      <w:pPr>
        <w:tabs>
          <w:tab w:val="left" w:pos="-432"/>
          <w:tab w:val="left" w:pos="576"/>
          <w:tab w:val="left" w:pos="720"/>
          <w:tab w:val="left" w:pos="1008"/>
          <w:tab w:val="left" w:pos="1440"/>
          <w:tab w:val="left" w:pos="6768"/>
          <w:tab w:val="decimal" w:pos="8028"/>
          <w:tab w:val="left" w:pos="8478"/>
          <w:tab w:val="decimal" w:pos="9648"/>
        </w:tabs>
        <w:spacing w:after="0" w:line="240" w:lineRule="auto"/>
        <w:ind w:left="720" w:right="-48"/>
        <w:jc w:val="both"/>
        <w:rPr>
          <w:rFonts w:ascii="Times New Roman" w:eastAsia="Times New Roman" w:hAnsi="Times New Roman" w:cs="Arial"/>
          <w:szCs w:val="21"/>
        </w:rPr>
      </w:pPr>
      <w:r w:rsidRPr="00253C6F">
        <w:rPr>
          <w:rFonts w:ascii="Times New Roman" w:eastAsia="MS Mincho" w:hAnsi="Times New Roman" w:cs="Times New Roman"/>
        </w:rPr>
        <w:t>The following information, prepared as of</w:t>
      </w:r>
      <w:r>
        <w:rPr>
          <w:rFonts w:ascii="Times New Roman" w:eastAsia="MS Mincho" w:hAnsi="Times New Roman" w:cs="Times New Roman"/>
        </w:rPr>
        <w:t xml:space="preserve"> </w:t>
      </w:r>
      <w:r w:rsidR="007D3D8A">
        <w:rPr>
          <w:rFonts w:ascii="Times New Roman" w:eastAsia="MS Mincho" w:hAnsi="Times New Roman" w:cs="Times New Roman"/>
        </w:rPr>
        <w:t>February 29, 2016</w:t>
      </w:r>
      <w:r w:rsidRPr="00253C6F">
        <w:rPr>
          <w:rFonts w:ascii="Times New Roman" w:eastAsia="MS Mincho" w:hAnsi="Times New Roman" w:cs="Times New Roman"/>
        </w:rPr>
        <w:t xml:space="preserve">, should be read in conjunction with </w:t>
      </w:r>
      <w:r w:rsidRPr="00253C6F">
        <w:rPr>
          <w:rFonts w:ascii="Times New Roman" w:eastAsia="Times New Roman" w:hAnsi="Times New Roman" w:cs="Times New Roman"/>
          <w:szCs w:val="24"/>
        </w:rPr>
        <w:t xml:space="preserve">the </w:t>
      </w:r>
      <w:r>
        <w:rPr>
          <w:rFonts w:ascii="Times New Roman" w:eastAsia="Times New Roman" w:hAnsi="Times New Roman" w:cs="Times New Roman"/>
          <w:szCs w:val="24"/>
        </w:rPr>
        <w:t>condensed interim</w:t>
      </w:r>
      <w:r w:rsidRPr="00253C6F">
        <w:rPr>
          <w:rFonts w:ascii="Times New Roman" w:eastAsia="Times New Roman" w:hAnsi="Times New Roman" w:cs="Times New Roman"/>
          <w:szCs w:val="24"/>
        </w:rPr>
        <w:t xml:space="preserve"> financial statements </w:t>
      </w:r>
      <w:r w:rsidRPr="00253C6F">
        <w:rPr>
          <w:rFonts w:ascii="Times New Roman" w:eastAsia="MS Mincho" w:hAnsi="Times New Roman" w:cs="Times New Roman"/>
        </w:rPr>
        <w:t xml:space="preserve">of </w:t>
      </w:r>
      <w:r>
        <w:rPr>
          <w:rFonts w:ascii="Times New Roman" w:eastAsia="MS Mincho" w:hAnsi="Times New Roman" w:cs="Times New Roman"/>
        </w:rPr>
        <w:t>Wildflower Marijuana Inc</w:t>
      </w:r>
      <w:r w:rsidRPr="00253C6F">
        <w:rPr>
          <w:rFonts w:ascii="Times New Roman" w:eastAsia="MS Mincho" w:hAnsi="Times New Roman" w:cs="Times New Roman"/>
        </w:rPr>
        <w:t xml:space="preserve">. </w:t>
      </w:r>
      <w:r>
        <w:rPr>
          <w:rFonts w:ascii="Times New Roman" w:eastAsia="MS Mincho" w:hAnsi="Times New Roman" w:cs="Times New Roman"/>
        </w:rPr>
        <w:t xml:space="preserve">(formerly Sunorca Development Corp.) </w:t>
      </w:r>
      <w:r w:rsidR="00437B1C">
        <w:rPr>
          <w:rFonts w:ascii="Times New Roman" w:eastAsia="MS Mincho" w:hAnsi="Times New Roman" w:cs="Times New Roman"/>
        </w:rPr>
        <w:t>(</w:t>
      </w:r>
      <w:r w:rsidRPr="00253C6F">
        <w:rPr>
          <w:rFonts w:ascii="Times New Roman" w:eastAsia="MS Mincho" w:hAnsi="Times New Roman" w:cs="Times New Roman"/>
        </w:rPr>
        <w:t xml:space="preserve">the </w:t>
      </w:r>
      <w:r w:rsidR="00437B1C">
        <w:rPr>
          <w:rFonts w:ascii="Times New Roman" w:eastAsia="MS Mincho" w:hAnsi="Times New Roman" w:cs="Times New Roman"/>
        </w:rPr>
        <w:t>“</w:t>
      </w:r>
      <w:r w:rsidRPr="00253C6F">
        <w:rPr>
          <w:rFonts w:ascii="Times New Roman" w:eastAsia="MS Mincho" w:hAnsi="Times New Roman" w:cs="Times New Roman"/>
        </w:rPr>
        <w:t xml:space="preserve">Company”) </w:t>
      </w:r>
      <w:r w:rsidRPr="00253C6F">
        <w:rPr>
          <w:rFonts w:ascii="Times New Roman" w:eastAsia="Times New Roman" w:hAnsi="Times New Roman" w:cs="Times New Roman"/>
          <w:szCs w:val="24"/>
        </w:rPr>
        <w:t xml:space="preserve">for the </w:t>
      </w:r>
      <w:r w:rsidR="007D3D8A">
        <w:rPr>
          <w:rFonts w:ascii="Times New Roman" w:eastAsia="Times New Roman" w:hAnsi="Times New Roman" w:cs="Times New Roman"/>
          <w:szCs w:val="24"/>
        </w:rPr>
        <w:t>six</w:t>
      </w:r>
      <w:r>
        <w:rPr>
          <w:rFonts w:ascii="Times New Roman" w:eastAsia="Times New Roman" w:hAnsi="Times New Roman" w:cs="Times New Roman"/>
          <w:szCs w:val="24"/>
        </w:rPr>
        <w:t xml:space="preserve"> months</w:t>
      </w:r>
      <w:r w:rsidRPr="00253C6F">
        <w:rPr>
          <w:rFonts w:ascii="Times New Roman" w:eastAsia="Times New Roman" w:hAnsi="Times New Roman" w:cs="Times New Roman"/>
          <w:szCs w:val="24"/>
        </w:rPr>
        <w:t xml:space="preserve"> ended</w:t>
      </w:r>
      <w:r>
        <w:rPr>
          <w:rFonts w:ascii="Times New Roman" w:eastAsia="Times New Roman" w:hAnsi="Times New Roman" w:cs="Times New Roman"/>
          <w:szCs w:val="24"/>
        </w:rPr>
        <w:t xml:space="preserve"> </w:t>
      </w:r>
      <w:r w:rsidR="007D3D8A">
        <w:rPr>
          <w:rFonts w:ascii="Times New Roman" w:eastAsia="Times New Roman" w:hAnsi="Times New Roman" w:cs="Times New Roman"/>
          <w:szCs w:val="24"/>
        </w:rPr>
        <w:t>December 31</w:t>
      </w:r>
      <w:r>
        <w:rPr>
          <w:rFonts w:ascii="Times New Roman" w:eastAsia="Times New Roman" w:hAnsi="Times New Roman" w:cs="Times New Roman"/>
          <w:szCs w:val="24"/>
        </w:rPr>
        <w:t>, 2015 and 2014</w:t>
      </w:r>
      <w:r w:rsidRPr="00253C6F">
        <w:rPr>
          <w:rFonts w:ascii="Times New Roman" w:eastAsia="Times New Roman" w:hAnsi="Times New Roman" w:cs="Times New Roman"/>
          <w:szCs w:val="24"/>
        </w:rPr>
        <w:t xml:space="preserve">. The </w:t>
      </w:r>
      <w:r>
        <w:rPr>
          <w:rFonts w:ascii="Times New Roman" w:eastAsia="Times New Roman" w:hAnsi="Times New Roman" w:cs="Times New Roman"/>
          <w:szCs w:val="24"/>
        </w:rPr>
        <w:t xml:space="preserve">condensed interim </w:t>
      </w:r>
      <w:r w:rsidRPr="00253C6F">
        <w:rPr>
          <w:rFonts w:ascii="Times New Roman" w:eastAsia="Times New Roman" w:hAnsi="Times New Roman" w:cs="Times New Roman"/>
          <w:szCs w:val="24"/>
        </w:rPr>
        <w:t xml:space="preserve">financial statements of the Company for the </w:t>
      </w:r>
      <w:r w:rsidR="007D3D8A">
        <w:rPr>
          <w:rFonts w:ascii="Times New Roman" w:eastAsia="Times New Roman" w:hAnsi="Times New Roman" w:cs="Times New Roman"/>
          <w:szCs w:val="24"/>
        </w:rPr>
        <w:t>six</w:t>
      </w:r>
      <w:r>
        <w:rPr>
          <w:rFonts w:ascii="Times New Roman" w:eastAsia="Times New Roman" w:hAnsi="Times New Roman" w:cs="Times New Roman"/>
          <w:szCs w:val="24"/>
        </w:rPr>
        <w:t xml:space="preserve"> months</w:t>
      </w:r>
      <w:r w:rsidRPr="00253C6F">
        <w:rPr>
          <w:rFonts w:ascii="Times New Roman" w:eastAsia="Times New Roman" w:hAnsi="Times New Roman" w:cs="Times New Roman"/>
          <w:szCs w:val="24"/>
        </w:rPr>
        <w:t xml:space="preserve"> ended </w:t>
      </w:r>
      <w:r w:rsidR="007D3D8A">
        <w:rPr>
          <w:rFonts w:ascii="Times New Roman" w:eastAsia="Times New Roman" w:hAnsi="Times New Roman" w:cs="Times New Roman"/>
          <w:szCs w:val="24"/>
        </w:rPr>
        <w:t>December 31</w:t>
      </w:r>
      <w:r>
        <w:rPr>
          <w:rFonts w:ascii="Times New Roman" w:eastAsia="Times New Roman" w:hAnsi="Times New Roman" w:cs="Times New Roman"/>
          <w:szCs w:val="24"/>
        </w:rPr>
        <w:t>, 2015 and 2014</w:t>
      </w:r>
      <w:r w:rsidRPr="00253C6F">
        <w:rPr>
          <w:rFonts w:ascii="Times New Roman" w:eastAsia="Times New Roman" w:hAnsi="Times New Roman" w:cs="Times New Roman"/>
          <w:szCs w:val="24"/>
        </w:rPr>
        <w:t xml:space="preserve"> </w:t>
      </w:r>
      <w:r w:rsidRPr="00253C6F">
        <w:rPr>
          <w:rFonts w:ascii="Times New Roman" w:eastAsia="Times New Roman" w:hAnsi="Times New Roman" w:cs="Arial"/>
          <w:szCs w:val="21"/>
        </w:rPr>
        <w:t>have been prepared in accordance with International Financial Reporting Standards (“IFRS”) as issued by the International Acco</w:t>
      </w:r>
      <w:r>
        <w:rPr>
          <w:rFonts w:ascii="Times New Roman" w:eastAsia="Times New Roman" w:hAnsi="Times New Roman" w:cs="Arial"/>
          <w:szCs w:val="21"/>
        </w:rPr>
        <w:t>unting Standards Board (“IASB”)</w:t>
      </w:r>
      <w:r w:rsidRPr="00253C6F">
        <w:rPr>
          <w:rFonts w:ascii="Times New Roman" w:eastAsia="Times New Roman" w:hAnsi="Times New Roman" w:cs="Arial"/>
          <w:szCs w:val="21"/>
        </w:rPr>
        <w:t xml:space="preserve">. </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Pr="00253C6F" w:rsidRDefault="00253C6F" w:rsidP="00253C6F">
      <w:pPr>
        <w:tabs>
          <w:tab w:val="left" w:pos="-1440"/>
        </w:tabs>
        <w:spacing w:after="0" w:line="240" w:lineRule="auto"/>
        <w:ind w:left="720" w:right="-360" w:hanging="720"/>
        <w:jc w:val="both"/>
        <w:rPr>
          <w:rFonts w:ascii="Times New Roman" w:eastAsia="Times New Roman" w:hAnsi="Times New Roman" w:cs="Times New Roman"/>
        </w:rPr>
      </w:pPr>
      <w:r w:rsidRPr="00253C6F">
        <w:rPr>
          <w:rFonts w:ascii="Times New Roman" w:eastAsia="Times New Roman" w:hAnsi="Times New Roman" w:cs="Times New Roman"/>
        </w:rPr>
        <w:t>1.2</w:t>
      </w:r>
      <w:r w:rsidRPr="00253C6F">
        <w:rPr>
          <w:rFonts w:ascii="Times New Roman" w:eastAsia="Times New Roman" w:hAnsi="Times New Roman" w:cs="Times New Roman"/>
        </w:rPr>
        <w:tab/>
      </w:r>
      <w:r w:rsidRPr="00253C6F">
        <w:rPr>
          <w:rFonts w:ascii="Times New Roman" w:eastAsia="Times New Roman" w:hAnsi="Times New Roman" w:cs="Times New Roman"/>
          <w:b/>
          <w:bCs/>
          <w:u w:val="single"/>
        </w:rPr>
        <w:t>Overall Performance</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Pr="00253C6F" w:rsidRDefault="00253C6F" w:rsidP="00253C6F">
      <w:pPr>
        <w:keepNext/>
        <w:widowControl w:val="0"/>
        <w:autoSpaceDE w:val="0"/>
        <w:autoSpaceDN w:val="0"/>
        <w:adjustRightInd w:val="0"/>
        <w:spacing w:after="0" w:line="240" w:lineRule="auto"/>
        <w:ind w:right="-360" w:firstLine="720"/>
        <w:jc w:val="both"/>
        <w:outlineLvl w:val="0"/>
        <w:rPr>
          <w:rFonts w:ascii="Times New Roman" w:eastAsia="Times New Roman" w:hAnsi="Times New Roman" w:cs="Times New Roman"/>
          <w:b/>
          <w:bCs/>
          <w:lang w:val="en-US"/>
        </w:rPr>
      </w:pPr>
      <w:r w:rsidRPr="00253C6F">
        <w:rPr>
          <w:rFonts w:ascii="Times New Roman" w:eastAsia="Times New Roman" w:hAnsi="Times New Roman" w:cs="Times New Roman"/>
          <w:b/>
          <w:bCs/>
          <w:lang w:val="en-US"/>
        </w:rPr>
        <w:t>Nature of Business &amp; Overall Performance</w:t>
      </w:r>
    </w:p>
    <w:p w:rsidR="00253C6F" w:rsidRPr="00253C6F" w:rsidRDefault="00253C6F" w:rsidP="00253C6F">
      <w:pPr>
        <w:spacing w:after="0" w:line="240" w:lineRule="auto"/>
        <w:ind w:right="-360"/>
        <w:jc w:val="both"/>
        <w:rPr>
          <w:rFonts w:ascii="Times New Roman" w:eastAsia="Times New Roman" w:hAnsi="Times New Roman" w:cs="Times New Roman"/>
        </w:rPr>
      </w:pPr>
    </w:p>
    <w:p w:rsidR="00E21118" w:rsidRPr="000348EA" w:rsidRDefault="00E21118" w:rsidP="00E21118">
      <w:pPr>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 xml:space="preserve">The Company is incorporated under the British Columbia Business Corporations Act and is a </w:t>
      </w:r>
      <w:r w:rsidRPr="000348EA">
        <w:rPr>
          <w:rFonts w:ascii="Times New Roman" w:eastAsia="Times New Roman" w:hAnsi="Times New Roman" w:cs="Times New Roman"/>
        </w:rPr>
        <w:t xml:space="preserve">reporting issuer in British Columbia, Alberta and Ontario. Its common shares are listed for trading on the Canadian </w:t>
      </w:r>
      <w:r w:rsidR="00437B1C">
        <w:rPr>
          <w:rFonts w:ascii="Times New Roman" w:eastAsia="Times New Roman" w:hAnsi="Times New Roman" w:cs="Times New Roman"/>
        </w:rPr>
        <w:t>Securities</w:t>
      </w:r>
      <w:r w:rsidRPr="000348EA">
        <w:rPr>
          <w:rFonts w:ascii="Times New Roman" w:eastAsia="Times New Roman" w:hAnsi="Times New Roman" w:cs="Times New Roman"/>
        </w:rPr>
        <w:t xml:space="preserve"> Exchange under the symbol “SUN”.</w:t>
      </w:r>
    </w:p>
    <w:p w:rsidR="00E21118" w:rsidRPr="000348EA" w:rsidRDefault="00E21118" w:rsidP="00E21118">
      <w:pPr>
        <w:autoSpaceDE w:val="0"/>
        <w:autoSpaceDN w:val="0"/>
        <w:adjustRightInd w:val="0"/>
        <w:spacing w:after="0" w:line="240" w:lineRule="auto"/>
        <w:ind w:left="720" w:right="-360"/>
        <w:jc w:val="both"/>
        <w:rPr>
          <w:rFonts w:ascii="Times New Roman" w:eastAsia="Times New Roman" w:hAnsi="Times New Roman" w:cs="Times New Roman"/>
          <w:lang w:bidi="fa-IR"/>
        </w:rPr>
      </w:pPr>
    </w:p>
    <w:p w:rsidR="00E21118" w:rsidRPr="000348EA" w:rsidRDefault="00E21118" w:rsidP="00E21118">
      <w:pPr>
        <w:autoSpaceDE w:val="0"/>
        <w:autoSpaceDN w:val="0"/>
        <w:adjustRightInd w:val="0"/>
        <w:spacing w:line="240" w:lineRule="auto"/>
        <w:ind w:left="720"/>
        <w:jc w:val="both"/>
        <w:rPr>
          <w:rFonts w:ascii="Times New Roman" w:hAnsi="Times New Roman" w:cs="Times New Roman"/>
        </w:rPr>
      </w:pPr>
      <w:r w:rsidRPr="000348EA">
        <w:rPr>
          <w:rFonts w:ascii="Times New Roman" w:hAnsi="Times New Roman" w:cs="Times New Roman"/>
        </w:rPr>
        <w:t>In June 2014, the Company closed the purchase of all the assets related to a medical marijuana business (the “Business”) from William W. MacLean.  The Business currently comprises securing a property</w:t>
      </w:r>
      <w:r>
        <w:rPr>
          <w:rFonts w:ascii="Times New Roman" w:hAnsi="Times New Roman" w:cs="Times New Roman"/>
        </w:rPr>
        <w:t>, a 125 acre property</w:t>
      </w:r>
      <w:r w:rsidRPr="000348EA">
        <w:rPr>
          <w:rFonts w:ascii="Times New Roman" w:hAnsi="Times New Roman" w:cs="Times New Roman"/>
        </w:rPr>
        <w:t xml:space="preserve"> in the Agricultural Land Reserve (“ALR”) in </w:t>
      </w:r>
      <w:r>
        <w:rPr>
          <w:rFonts w:ascii="Times New Roman" w:hAnsi="Times New Roman" w:cs="Times New Roman"/>
        </w:rPr>
        <w:t xml:space="preserve">Nanoose Bay </w:t>
      </w:r>
      <w:r w:rsidRPr="000348EA">
        <w:rPr>
          <w:rFonts w:ascii="Times New Roman" w:hAnsi="Times New Roman" w:cs="Times New Roman"/>
        </w:rPr>
        <w:t xml:space="preserve">on Vancouver Island (the Agricultural Land Commission recognizes the growing of medical marijuana as a “farm use” and completely within the scope of the Agricultural Land Commission Act - </w:t>
      </w:r>
      <w:hyperlink r:id="rId7" w:history="1">
        <w:r w:rsidRPr="000348EA">
          <w:rPr>
            <w:rStyle w:val="Hyperlink"/>
            <w:rFonts w:ascii="Times New Roman" w:hAnsi="Times New Roman" w:cs="Times New Roman"/>
          </w:rPr>
          <w:t>http://www.alc.gov.bc.ca/alc/DownloadAsset?assetId=28F687FC8AB640CFB33D46FB3F1B30EC</w:t>
        </w:r>
      </w:hyperlink>
      <w:r w:rsidRPr="000348EA">
        <w:rPr>
          <w:rFonts w:ascii="Times New Roman" w:hAnsi="Times New Roman" w:cs="Times New Roman"/>
        </w:rPr>
        <w:t xml:space="preserve">) where the Regional District has regulations permitting the growing of medical marijuana, a fully completed application to acquire a license under the </w:t>
      </w:r>
      <w:r w:rsidRPr="000348EA">
        <w:rPr>
          <w:rFonts w:ascii="Times New Roman" w:hAnsi="Times New Roman" w:cs="Times New Roman"/>
          <w:i/>
        </w:rPr>
        <w:t>Marijuana for Medical Purposes Regulations</w:t>
      </w:r>
      <w:r w:rsidRPr="000348EA">
        <w:rPr>
          <w:rFonts w:ascii="Times New Roman" w:hAnsi="Times New Roman" w:cs="Times New Roman"/>
        </w:rPr>
        <w:t xml:space="preserve"> (“MMPR”) including all building plans and proprietary designs for the grow facility.  As consideration for the acquisition of the assets the Company issued 13,000,000 common shares to Mr. MacLean.  </w:t>
      </w:r>
      <w:r>
        <w:rPr>
          <w:rFonts w:ascii="Times New Roman" w:hAnsi="Times New Roman" w:cs="Times New Roman"/>
        </w:rPr>
        <w:t xml:space="preserve">Based on the previous closing price of the Company’s shares of $0.05 this would place a value of $650,000 for the acquisition of the Business. </w:t>
      </w:r>
      <w:r w:rsidRPr="000348EA">
        <w:rPr>
          <w:rFonts w:ascii="Times New Roman" w:hAnsi="Times New Roman" w:cs="Times New Roman"/>
        </w:rPr>
        <w:t xml:space="preserve">These shares are subject to escrow with escrow releases scheduled at periods specified in National Policy 46-201 over 3 years.  </w:t>
      </w:r>
    </w:p>
    <w:p w:rsidR="00E21118" w:rsidRDefault="00E21118" w:rsidP="00E21118">
      <w:pPr>
        <w:autoSpaceDE w:val="0"/>
        <w:autoSpaceDN w:val="0"/>
        <w:adjustRightInd w:val="0"/>
        <w:spacing w:line="240" w:lineRule="auto"/>
        <w:ind w:left="720"/>
        <w:jc w:val="both"/>
        <w:rPr>
          <w:rFonts w:ascii="Times New Roman" w:hAnsi="Times New Roman" w:cs="Times New Roman"/>
        </w:rPr>
      </w:pPr>
      <w:r w:rsidRPr="005C406C">
        <w:rPr>
          <w:rFonts w:ascii="Times New Roman" w:hAnsi="Times New Roman" w:cs="Times New Roman"/>
        </w:rPr>
        <w:t>The application provides for the possession, sale, delivery, destruction and production of dried</w:t>
      </w:r>
      <w:r>
        <w:rPr>
          <w:rFonts w:ascii="Times New Roman" w:hAnsi="Times New Roman" w:cs="Times New Roman"/>
        </w:rPr>
        <w:t xml:space="preserve"> </w:t>
      </w:r>
      <w:r w:rsidRPr="005C406C">
        <w:rPr>
          <w:rFonts w:ascii="Times New Roman" w:hAnsi="Times New Roman" w:cs="Times New Roman"/>
        </w:rPr>
        <w:t>marijuana. The proposed growing site for growing the medicinal marijuana in the application is</w:t>
      </w:r>
      <w:r>
        <w:rPr>
          <w:rFonts w:ascii="Times New Roman" w:hAnsi="Times New Roman" w:cs="Times New Roman"/>
        </w:rPr>
        <w:t xml:space="preserve"> </w:t>
      </w:r>
      <w:r w:rsidRPr="005C406C">
        <w:rPr>
          <w:rFonts w:ascii="Times New Roman" w:hAnsi="Times New Roman" w:cs="Times New Roman"/>
        </w:rPr>
        <w:t>175 metres by 54 metres with six proposed buildings to be constructed within this area. Each</w:t>
      </w:r>
      <w:r>
        <w:rPr>
          <w:rFonts w:ascii="Times New Roman" w:hAnsi="Times New Roman" w:cs="Times New Roman"/>
        </w:rPr>
        <w:t xml:space="preserve"> </w:t>
      </w:r>
      <w:r w:rsidRPr="005C406C">
        <w:rPr>
          <w:rFonts w:ascii="Times New Roman" w:hAnsi="Times New Roman" w:cs="Times New Roman"/>
        </w:rPr>
        <w:t>building will be 85 by 15 metres and will encompass several growing rooms. Two of the</w:t>
      </w:r>
      <w:r>
        <w:rPr>
          <w:rFonts w:ascii="Times New Roman" w:hAnsi="Times New Roman" w:cs="Times New Roman"/>
        </w:rPr>
        <w:t xml:space="preserve"> </w:t>
      </w:r>
      <w:r w:rsidRPr="005C406C">
        <w:rPr>
          <w:rFonts w:ascii="Times New Roman" w:hAnsi="Times New Roman" w:cs="Times New Roman"/>
        </w:rPr>
        <w:t>buildings will house offices, tissue culture lab, processing rooms, a decontamination area, safe</w:t>
      </w:r>
      <w:r>
        <w:rPr>
          <w:rFonts w:ascii="Times New Roman" w:hAnsi="Times New Roman" w:cs="Times New Roman"/>
        </w:rPr>
        <w:t xml:space="preserve"> </w:t>
      </w:r>
      <w:r w:rsidRPr="005C406C">
        <w:rPr>
          <w:rFonts w:ascii="Times New Roman" w:hAnsi="Times New Roman" w:cs="Times New Roman"/>
        </w:rPr>
        <w:t>and storage areas. The application provides for a build out approach to the site with the first</w:t>
      </w:r>
      <w:r>
        <w:rPr>
          <w:rFonts w:ascii="Times New Roman" w:hAnsi="Times New Roman" w:cs="Times New Roman"/>
        </w:rPr>
        <w:t xml:space="preserve"> </w:t>
      </w:r>
      <w:r w:rsidRPr="005C406C">
        <w:rPr>
          <w:rFonts w:ascii="Times New Roman" w:hAnsi="Times New Roman" w:cs="Times New Roman"/>
        </w:rPr>
        <w:t>building being constructed for the first year, the second, third and fourth building being</w:t>
      </w:r>
      <w:r>
        <w:rPr>
          <w:rFonts w:ascii="Times New Roman" w:hAnsi="Times New Roman" w:cs="Times New Roman"/>
        </w:rPr>
        <w:t xml:space="preserve"> </w:t>
      </w:r>
      <w:r w:rsidRPr="005C406C">
        <w:rPr>
          <w:rFonts w:ascii="Times New Roman" w:hAnsi="Times New Roman" w:cs="Times New Roman"/>
        </w:rPr>
        <w:t>constructed for year 2 and the fifth and sixth building in year three. Total growing space will be</w:t>
      </w:r>
      <w:r>
        <w:rPr>
          <w:rFonts w:ascii="Times New Roman" w:hAnsi="Times New Roman" w:cs="Times New Roman"/>
        </w:rPr>
        <w:t xml:space="preserve"> </w:t>
      </w:r>
      <w:r w:rsidRPr="005C406C">
        <w:rPr>
          <w:rFonts w:ascii="Times New Roman" w:hAnsi="Times New Roman" w:cs="Times New Roman"/>
        </w:rPr>
        <w:t>10,000 square feet in the first year, 52,000 square feet in year two and 76,000 square feet in</w:t>
      </w:r>
      <w:r>
        <w:rPr>
          <w:rFonts w:ascii="Times New Roman" w:hAnsi="Times New Roman" w:cs="Times New Roman"/>
        </w:rPr>
        <w:t xml:space="preserve"> </w:t>
      </w:r>
      <w:r w:rsidRPr="005C406C">
        <w:rPr>
          <w:rFonts w:ascii="Times New Roman" w:hAnsi="Times New Roman" w:cs="Times New Roman"/>
        </w:rPr>
        <w:t>year three. The application proposes growing up to 1,455 kilograms of dried marijuana in year</w:t>
      </w:r>
      <w:r>
        <w:rPr>
          <w:rFonts w:ascii="Times New Roman" w:hAnsi="Times New Roman" w:cs="Times New Roman"/>
        </w:rPr>
        <w:t xml:space="preserve"> </w:t>
      </w:r>
      <w:r w:rsidRPr="005C406C">
        <w:rPr>
          <w:rFonts w:ascii="Times New Roman" w:hAnsi="Times New Roman" w:cs="Times New Roman"/>
        </w:rPr>
        <w:t>one, 6,400 kilograms of dried marijuana in year two and 9,800 kilograms of dried marijuana in</w:t>
      </w:r>
      <w:r>
        <w:rPr>
          <w:rFonts w:ascii="Times New Roman" w:hAnsi="Times New Roman" w:cs="Times New Roman"/>
        </w:rPr>
        <w:t xml:space="preserve"> </w:t>
      </w:r>
      <w:r w:rsidRPr="005C406C">
        <w:rPr>
          <w:rFonts w:ascii="Times New Roman" w:hAnsi="Times New Roman" w:cs="Times New Roman"/>
        </w:rPr>
        <w:t>year three. The estimated cost per building, including all the equipment inside necessary for</w:t>
      </w:r>
      <w:r>
        <w:rPr>
          <w:rFonts w:ascii="Times New Roman" w:hAnsi="Times New Roman" w:cs="Times New Roman"/>
        </w:rPr>
        <w:t xml:space="preserve"> </w:t>
      </w:r>
      <w:r w:rsidRPr="005C406C">
        <w:rPr>
          <w:rFonts w:ascii="Times New Roman" w:hAnsi="Times New Roman" w:cs="Times New Roman"/>
        </w:rPr>
        <w:t xml:space="preserve">growing is estimated at $1,200,000. </w:t>
      </w:r>
    </w:p>
    <w:p w:rsidR="00E21118" w:rsidRDefault="00E21118" w:rsidP="00E21118">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lastRenderedPageBreak/>
        <w:t>On August 7, 2014 the Company announced that it had entered into an option agreement,</w:t>
      </w:r>
      <w:r>
        <w:rPr>
          <w:rFonts w:ascii="Times New Roman" w:hAnsi="Times New Roman" w:cs="Times New Roman"/>
        </w:rPr>
        <w:t xml:space="preserve"> </w:t>
      </w:r>
      <w:r w:rsidRPr="005C406C">
        <w:rPr>
          <w:rFonts w:ascii="Times New Roman" w:hAnsi="Times New Roman" w:cs="Times New Roman"/>
        </w:rPr>
        <w:t>effective immediately, to acquire an option on an MMPR application which is nearing completion</w:t>
      </w:r>
      <w:r>
        <w:rPr>
          <w:rFonts w:ascii="Times New Roman" w:hAnsi="Times New Roman" w:cs="Times New Roman"/>
        </w:rPr>
        <w:t xml:space="preserve"> </w:t>
      </w:r>
      <w:r w:rsidRPr="005C406C">
        <w:rPr>
          <w:rFonts w:ascii="Times New Roman" w:hAnsi="Times New Roman" w:cs="Times New Roman"/>
        </w:rPr>
        <w:t>for filing with Health Canada. The application includes a 30 acre site within the ALR located in</w:t>
      </w:r>
      <w:r>
        <w:rPr>
          <w:rFonts w:ascii="Times New Roman" w:hAnsi="Times New Roman" w:cs="Times New Roman"/>
        </w:rPr>
        <w:t xml:space="preserve"> </w:t>
      </w:r>
      <w:r w:rsidRPr="005C406C">
        <w:rPr>
          <w:rFonts w:ascii="Times New Roman" w:hAnsi="Times New Roman" w:cs="Times New Roman"/>
        </w:rPr>
        <w:t>south Nanaimo and a highly professional expert team. Consideration consists of 500,000</w:t>
      </w:r>
      <w:r>
        <w:rPr>
          <w:rFonts w:ascii="Times New Roman" w:hAnsi="Times New Roman" w:cs="Times New Roman"/>
        </w:rPr>
        <w:t xml:space="preserve"> </w:t>
      </w:r>
      <w:r w:rsidRPr="005C406C">
        <w:rPr>
          <w:rFonts w:ascii="Times New Roman" w:hAnsi="Times New Roman" w:cs="Times New Roman"/>
        </w:rPr>
        <w:t>shares of Wildflower within 10 days of a public announcement and a further 6,000,000 shares of</w:t>
      </w:r>
      <w:r>
        <w:rPr>
          <w:rFonts w:ascii="Times New Roman" w:hAnsi="Times New Roman" w:cs="Times New Roman"/>
        </w:rPr>
        <w:t xml:space="preserve"> </w:t>
      </w:r>
      <w:r w:rsidRPr="005C406C">
        <w:rPr>
          <w:rFonts w:ascii="Times New Roman" w:hAnsi="Times New Roman" w:cs="Times New Roman"/>
        </w:rPr>
        <w:t>Wildflower upon the Vendor receiving its “right to build” a growing facility from Health Canada.</w:t>
      </w:r>
      <w:r>
        <w:rPr>
          <w:rFonts w:ascii="Times New Roman" w:hAnsi="Times New Roman" w:cs="Times New Roman"/>
        </w:rPr>
        <w:t xml:space="preserve"> </w:t>
      </w:r>
      <w:r w:rsidRPr="005C406C">
        <w:rPr>
          <w:rFonts w:ascii="Times New Roman" w:hAnsi="Times New Roman" w:cs="Times New Roman"/>
        </w:rPr>
        <w:t>Based on the previous closing price of the Company’s shares of $0.18 this would place a value</w:t>
      </w:r>
      <w:r>
        <w:rPr>
          <w:rFonts w:ascii="Times New Roman" w:hAnsi="Times New Roman" w:cs="Times New Roman"/>
        </w:rPr>
        <w:t xml:space="preserve"> </w:t>
      </w:r>
      <w:r w:rsidRPr="005C406C">
        <w:rPr>
          <w:rFonts w:ascii="Times New Roman" w:hAnsi="Times New Roman" w:cs="Times New Roman"/>
        </w:rPr>
        <w:t>of $1,170,000 for the total consideration for the option agreement, being 6,500,000 shares. The</w:t>
      </w:r>
      <w:r>
        <w:rPr>
          <w:rFonts w:ascii="Times New Roman" w:hAnsi="Times New Roman" w:cs="Times New Roman"/>
        </w:rPr>
        <w:t xml:space="preserve"> </w:t>
      </w:r>
      <w:r w:rsidRPr="005C406C">
        <w:rPr>
          <w:rFonts w:ascii="Times New Roman" w:hAnsi="Times New Roman" w:cs="Times New Roman"/>
        </w:rPr>
        <w:t>6,000,000 shares will be subject to a three year escrow agreement. The option will terminate if</w:t>
      </w:r>
      <w:r>
        <w:rPr>
          <w:rFonts w:ascii="Times New Roman" w:hAnsi="Times New Roman" w:cs="Times New Roman"/>
        </w:rPr>
        <w:t xml:space="preserve"> </w:t>
      </w:r>
      <w:r w:rsidRPr="005C406C">
        <w:rPr>
          <w:rFonts w:ascii="Times New Roman" w:hAnsi="Times New Roman" w:cs="Times New Roman"/>
        </w:rPr>
        <w:t>the Company does not receive its right to build from Health Canada or by mutual consent of the</w:t>
      </w:r>
      <w:r>
        <w:rPr>
          <w:rFonts w:ascii="Times New Roman" w:hAnsi="Times New Roman" w:cs="Times New Roman"/>
        </w:rPr>
        <w:t xml:space="preserve"> </w:t>
      </w:r>
      <w:r w:rsidRPr="005C406C">
        <w:rPr>
          <w:rFonts w:ascii="Times New Roman" w:hAnsi="Times New Roman" w:cs="Times New Roman"/>
        </w:rPr>
        <w:t>parties to the agreement.</w:t>
      </w:r>
    </w:p>
    <w:p w:rsidR="00E21118" w:rsidRPr="005C406C" w:rsidRDefault="00E21118" w:rsidP="00E21118">
      <w:pPr>
        <w:autoSpaceDE w:val="0"/>
        <w:autoSpaceDN w:val="0"/>
        <w:adjustRightInd w:val="0"/>
        <w:spacing w:after="0" w:line="240" w:lineRule="auto"/>
        <w:ind w:left="720"/>
        <w:jc w:val="both"/>
        <w:rPr>
          <w:rFonts w:ascii="Times New Roman" w:hAnsi="Times New Roman" w:cs="Times New Roman"/>
        </w:rPr>
      </w:pPr>
    </w:p>
    <w:p w:rsidR="00E21118" w:rsidRDefault="00E21118" w:rsidP="00E21118">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The application provides for the possession, sale, delivery, destruction and production of dried</w:t>
      </w:r>
      <w:r>
        <w:rPr>
          <w:rFonts w:ascii="Times New Roman" w:hAnsi="Times New Roman" w:cs="Times New Roman"/>
        </w:rPr>
        <w:t xml:space="preserve"> </w:t>
      </w:r>
      <w:r w:rsidRPr="005C406C">
        <w:rPr>
          <w:rFonts w:ascii="Times New Roman" w:hAnsi="Times New Roman" w:cs="Times New Roman"/>
        </w:rPr>
        <w:t>marijuana. The proposed growing site for growing the medicinal marijuana in the application is</w:t>
      </w:r>
      <w:r>
        <w:rPr>
          <w:rFonts w:ascii="Times New Roman" w:hAnsi="Times New Roman" w:cs="Times New Roman"/>
        </w:rPr>
        <w:t xml:space="preserve"> </w:t>
      </w:r>
      <w:r w:rsidRPr="005C406C">
        <w:rPr>
          <w:rFonts w:ascii="Times New Roman" w:hAnsi="Times New Roman" w:cs="Times New Roman"/>
        </w:rPr>
        <w:t>123 metres by 49 metres with one proposed building to be constructed within this area. The</w:t>
      </w:r>
      <w:r>
        <w:rPr>
          <w:rFonts w:ascii="Times New Roman" w:hAnsi="Times New Roman" w:cs="Times New Roman"/>
        </w:rPr>
        <w:t xml:space="preserve"> </w:t>
      </w:r>
      <w:r w:rsidRPr="005C406C">
        <w:rPr>
          <w:rFonts w:ascii="Times New Roman" w:hAnsi="Times New Roman" w:cs="Times New Roman"/>
        </w:rPr>
        <w:t>building will be two stories and be 113 by 40 metres in size encompassing approximately 15</w:t>
      </w:r>
      <w:r>
        <w:rPr>
          <w:rFonts w:ascii="Times New Roman" w:hAnsi="Times New Roman" w:cs="Times New Roman"/>
        </w:rPr>
        <w:t xml:space="preserve"> </w:t>
      </w:r>
      <w:r w:rsidRPr="005C406C">
        <w:rPr>
          <w:rFonts w:ascii="Times New Roman" w:hAnsi="Times New Roman" w:cs="Times New Roman"/>
        </w:rPr>
        <w:t>growing rooms. The building will also house offices, a laboratory, processing rooms, a</w:t>
      </w:r>
      <w:r>
        <w:rPr>
          <w:rFonts w:ascii="Times New Roman" w:hAnsi="Times New Roman" w:cs="Times New Roman"/>
        </w:rPr>
        <w:t xml:space="preserve"> </w:t>
      </w:r>
      <w:r w:rsidRPr="005C406C">
        <w:rPr>
          <w:rFonts w:ascii="Times New Roman" w:hAnsi="Times New Roman" w:cs="Times New Roman"/>
        </w:rPr>
        <w:t>decontamination area, safe and storage areas. Total growing space will be 50,000 square feet</w:t>
      </w:r>
      <w:r>
        <w:rPr>
          <w:rFonts w:ascii="Times New Roman" w:hAnsi="Times New Roman" w:cs="Times New Roman"/>
        </w:rPr>
        <w:t xml:space="preserve"> </w:t>
      </w:r>
      <w:r w:rsidRPr="005C406C">
        <w:rPr>
          <w:rFonts w:ascii="Times New Roman" w:hAnsi="Times New Roman" w:cs="Times New Roman"/>
        </w:rPr>
        <w:t>in the first year and 82,000 square feet in year two. The application proposes growing up to</w:t>
      </w:r>
      <w:r>
        <w:rPr>
          <w:rFonts w:ascii="Times New Roman" w:hAnsi="Times New Roman" w:cs="Times New Roman"/>
        </w:rPr>
        <w:t xml:space="preserve"> </w:t>
      </w:r>
      <w:r w:rsidRPr="005C406C">
        <w:rPr>
          <w:rFonts w:ascii="Times New Roman" w:hAnsi="Times New Roman" w:cs="Times New Roman"/>
        </w:rPr>
        <w:t>7,000 kilograms of dried marijuana in year one and 10,000 kilograms of dried marijuana in year</w:t>
      </w:r>
      <w:r>
        <w:rPr>
          <w:rFonts w:ascii="Times New Roman" w:hAnsi="Times New Roman" w:cs="Times New Roman"/>
        </w:rPr>
        <w:t xml:space="preserve"> </w:t>
      </w:r>
      <w:r w:rsidRPr="005C406C">
        <w:rPr>
          <w:rFonts w:ascii="Times New Roman" w:hAnsi="Times New Roman" w:cs="Times New Roman"/>
        </w:rPr>
        <w:t>two. The estimated cost of the building and timing for construction cannot currently be made.</w:t>
      </w:r>
    </w:p>
    <w:p w:rsidR="00E21118" w:rsidRDefault="00E21118" w:rsidP="00E21118">
      <w:pPr>
        <w:autoSpaceDE w:val="0"/>
        <w:autoSpaceDN w:val="0"/>
        <w:adjustRightInd w:val="0"/>
        <w:spacing w:after="0" w:line="240" w:lineRule="auto"/>
        <w:ind w:left="720"/>
        <w:jc w:val="both"/>
        <w:rPr>
          <w:rFonts w:ascii="Times New Roman" w:hAnsi="Times New Roman" w:cs="Times New Roman"/>
        </w:rPr>
      </w:pPr>
    </w:p>
    <w:p w:rsidR="00E21118" w:rsidRDefault="00E21118" w:rsidP="00E21118">
      <w:pPr>
        <w:autoSpaceDE w:val="0"/>
        <w:autoSpaceDN w:val="0"/>
        <w:adjustRightInd w:val="0"/>
        <w:spacing w:after="0" w:line="240" w:lineRule="auto"/>
        <w:ind w:left="720"/>
        <w:jc w:val="both"/>
        <w:rPr>
          <w:rFonts w:ascii="Times New Roman" w:hAnsi="Times New Roman" w:cs="Times New Roman"/>
          <w:u w:val="single"/>
        </w:rPr>
      </w:pPr>
      <w:r w:rsidRPr="005C406C">
        <w:rPr>
          <w:rFonts w:ascii="Times New Roman" w:hAnsi="Times New Roman" w:cs="Times New Roman"/>
          <w:u w:val="single"/>
        </w:rPr>
        <w:t>The MMPR application process</w:t>
      </w:r>
    </w:p>
    <w:p w:rsidR="00E21118" w:rsidRPr="005C406C" w:rsidRDefault="00E21118" w:rsidP="00E21118">
      <w:pPr>
        <w:autoSpaceDE w:val="0"/>
        <w:autoSpaceDN w:val="0"/>
        <w:adjustRightInd w:val="0"/>
        <w:spacing w:after="0" w:line="240" w:lineRule="auto"/>
        <w:ind w:left="720"/>
        <w:jc w:val="both"/>
        <w:rPr>
          <w:rFonts w:ascii="Times New Roman" w:hAnsi="Times New Roman" w:cs="Times New Roman"/>
          <w:u w:val="single"/>
        </w:rPr>
      </w:pPr>
    </w:p>
    <w:p w:rsidR="00E21118" w:rsidRDefault="00E21118" w:rsidP="00E21118">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For those not familiar with the Health Canada’s process for granting a license to grow medicinal</w:t>
      </w:r>
      <w:r>
        <w:rPr>
          <w:rFonts w:ascii="Times New Roman" w:hAnsi="Times New Roman" w:cs="Times New Roman"/>
        </w:rPr>
        <w:t xml:space="preserve"> </w:t>
      </w:r>
      <w:r w:rsidRPr="005C406C">
        <w:rPr>
          <w:rFonts w:ascii="Times New Roman" w:hAnsi="Times New Roman" w:cs="Times New Roman"/>
        </w:rPr>
        <w:t>marijuana, the process is very stringent and includes:</w:t>
      </w:r>
    </w:p>
    <w:p w:rsidR="00E21118" w:rsidRPr="005C406C" w:rsidRDefault="00E21118" w:rsidP="00E21118">
      <w:pPr>
        <w:autoSpaceDE w:val="0"/>
        <w:autoSpaceDN w:val="0"/>
        <w:adjustRightInd w:val="0"/>
        <w:spacing w:after="0" w:line="240" w:lineRule="auto"/>
        <w:ind w:left="720"/>
        <w:jc w:val="both"/>
        <w:rPr>
          <w:rFonts w:ascii="Times New Roman" w:hAnsi="Times New Roman" w:cs="Times New Roman"/>
        </w:rPr>
      </w:pP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1: preliminary screening;</w:t>
      </w: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2: enhanced screening;</w:t>
      </w: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3: security clearance;</w:t>
      </w: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4: review;</w:t>
      </w: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5: ready to build letter;</w:t>
      </w:r>
    </w:p>
    <w:p w:rsidR="00E21118" w:rsidRPr="005C406C"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6: pre-licence inspection;</w:t>
      </w:r>
      <w:r>
        <w:rPr>
          <w:rFonts w:ascii="Times New Roman" w:hAnsi="Times New Roman" w:cs="Times New Roman"/>
        </w:rPr>
        <w:t xml:space="preserve"> and</w:t>
      </w:r>
    </w:p>
    <w:p w:rsidR="00E21118" w:rsidRDefault="00E21118" w:rsidP="00E21118">
      <w:pPr>
        <w:pStyle w:val="ListParagraph"/>
        <w:numPr>
          <w:ilvl w:val="0"/>
          <w:numId w:val="7"/>
        </w:numPr>
        <w:autoSpaceDE w:val="0"/>
        <w:autoSpaceDN w:val="0"/>
        <w:adjustRightInd w:val="0"/>
        <w:spacing w:after="0" w:line="240" w:lineRule="auto"/>
        <w:ind w:left="1080" w:hanging="270"/>
        <w:jc w:val="both"/>
        <w:rPr>
          <w:rFonts w:ascii="Times New Roman" w:hAnsi="Times New Roman" w:cs="Times New Roman"/>
        </w:rPr>
      </w:pPr>
      <w:r w:rsidRPr="005C406C">
        <w:rPr>
          <w:rFonts w:ascii="Times New Roman" w:hAnsi="Times New Roman" w:cs="Times New Roman"/>
        </w:rPr>
        <w:t>Step 7: licensing.</w:t>
      </w:r>
    </w:p>
    <w:p w:rsidR="00E21118" w:rsidRPr="00266CFF" w:rsidRDefault="00E21118" w:rsidP="00E21118">
      <w:pPr>
        <w:autoSpaceDE w:val="0"/>
        <w:autoSpaceDN w:val="0"/>
        <w:adjustRightInd w:val="0"/>
        <w:spacing w:after="0" w:line="240" w:lineRule="auto"/>
        <w:ind w:left="810"/>
        <w:jc w:val="both"/>
        <w:rPr>
          <w:rFonts w:ascii="Times New Roman" w:hAnsi="Times New Roman" w:cs="Times New Roman"/>
          <w:sz w:val="12"/>
          <w:szCs w:val="12"/>
        </w:rPr>
      </w:pPr>
    </w:p>
    <w:p w:rsidR="00E21118" w:rsidRDefault="00E21118" w:rsidP="00E21118">
      <w:pPr>
        <w:autoSpaceDE w:val="0"/>
        <w:autoSpaceDN w:val="0"/>
        <w:adjustRightInd w:val="0"/>
        <w:spacing w:after="0" w:line="240" w:lineRule="auto"/>
        <w:ind w:left="720"/>
        <w:jc w:val="both"/>
        <w:rPr>
          <w:rFonts w:ascii="Times New Roman" w:hAnsi="Times New Roman" w:cs="Times New Roman"/>
        </w:rPr>
      </w:pPr>
      <w:r w:rsidRPr="005C406C">
        <w:rPr>
          <w:rFonts w:ascii="Times New Roman" w:hAnsi="Times New Roman" w:cs="Times New Roman"/>
        </w:rPr>
        <w:t>The Company cannot make any statement as to when, or if, Health Canada will provide a ready</w:t>
      </w:r>
      <w:r>
        <w:rPr>
          <w:rFonts w:ascii="Times New Roman" w:hAnsi="Times New Roman" w:cs="Times New Roman"/>
        </w:rPr>
        <w:t xml:space="preserve"> </w:t>
      </w:r>
      <w:r w:rsidRPr="005C406C">
        <w:rPr>
          <w:rFonts w:ascii="Times New Roman" w:hAnsi="Times New Roman" w:cs="Times New Roman"/>
        </w:rPr>
        <w:t>to build letter or complete the initial four steps in the licensing process. Until the Company is</w:t>
      </w:r>
      <w:r>
        <w:rPr>
          <w:rFonts w:ascii="Times New Roman" w:hAnsi="Times New Roman" w:cs="Times New Roman"/>
        </w:rPr>
        <w:t xml:space="preserve"> </w:t>
      </w:r>
      <w:r w:rsidRPr="005C406C">
        <w:rPr>
          <w:rFonts w:ascii="Times New Roman" w:hAnsi="Times New Roman" w:cs="Times New Roman"/>
        </w:rPr>
        <w:t>granted a license it will not be legally permitted to grow or sell medical marijuana and no license</w:t>
      </w:r>
      <w:r>
        <w:rPr>
          <w:rFonts w:ascii="Times New Roman" w:hAnsi="Times New Roman" w:cs="Times New Roman"/>
        </w:rPr>
        <w:t xml:space="preserve"> </w:t>
      </w:r>
      <w:r w:rsidRPr="005C406C">
        <w:rPr>
          <w:rFonts w:ascii="Times New Roman" w:hAnsi="Times New Roman" w:cs="Times New Roman"/>
        </w:rPr>
        <w:t>will be granted until a growing facility meeting the rigorous licensing requirements of Health</w:t>
      </w:r>
      <w:r>
        <w:rPr>
          <w:rFonts w:ascii="Times New Roman" w:hAnsi="Times New Roman" w:cs="Times New Roman"/>
        </w:rPr>
        <w:t xml:space="preserve"> </w:t>
      </w:r>
      <w:r w:rsidRPr="005C406C">
        <w:rPr>
          <w:rFonts w:ascii="Times New Roman" w:hAnsi="Times New Roman" w:cs="Times New Roman"/>
        </w:rPr>
        <w:t>Canada is built and inspected to Health Canada’s satisfaction.</w:t>
      </w:r>
    </w:p>
    <w:p w:rsidR="00E21118" w:rsidRPr="005C406C" w:rsidRDefault="00E21118" w:rsidP="00E21118">
      <w:pPr>
        <w:autoSpaceDE w:val="0"/>
        <w:autoSpaceDN w:val="0"/>
        <w:adjustRightInd w:val="0"/>
        <w:spacing w:after="0" w:line="240" w:lineRule="auto"/>
        <w:ind w:left="720"/>
        <w:jc w:val="both"/>
        <w:rPr>
          <w:rFonts w:ascii="Times New Roman" w:hAnsi="Times New Roman" w:cs="Times New Roman"/>
        </w:rPr>
      </w:pPr>
    </w:p>
    <w:p w:rsidR="00E21118" w:rsidRDefault="00E21118" w:rsidP="00E21118">
      <w:pPr>
        <w:autoSpaceDE w:val="0"/>
        <w:autoSpaceDN w:val="0"/>
        <w:adjustRightInd w:val="0"/>
        <w:spacing w:after="0" w:line="240" w:lineRule="auto"/>
        <w:ind w:left="720"/>
        <w:jc w:val="both"/>
        <w:rPr>
          <w:rFonts w:ascii="Times New Roman" w:hAnsi="Times New Roman" w:cs="Times New Roman"/>
          <w:u w:val="single"/>
        </w:rPr>
      </w:pPr>
      <w:r w:rsidRPr="00DE3C92">
        <w:rPr>
          <w:rFonts w:ascii="Times New Roman" w:hAnsi="Times New Roman" w:cs="Times New Roman"/>
          <w:u w:val="single"/>
        </w:rPr>
        <w:t>Other Activities</w:t>
      </w:r>
    </w:p>
    <w:p w:rsidR="00E64F70" w:rsidRPr="002D1F47" w:rsidRDefault="00E64F70" w:rsidP="00E64F70">
      <w:pPr>
        <w:pStyle w:val="NormalWeb"/>
        <w:spacing w:after="0" w:afterAutospacing="0"/>
        <w:ind w:left="720"/>
        <w:jc w:val="both"/>
        <w:rPr>
          <w:sz w:val="22"/>
          <w:szCs w:val="22"/>
        </w:rPr>
      </w:pPr>
      <w:r w:rsidRPr="00E64F70">
        <w:rPr>
          <w:rFonts w:eastAsiaTheme="minorHAnsi"/>
          <w:sz w:val="22"/>
          <w:szCs w:val="22"/>
          <w:lang w:val="en-CA"/>
        </w:rPr>
        <w:t>The Company</w:t>
      </w:r>
      <w:r>
        <w:rPr>
          <w:rFonts w:eastAsiaTheme="minorHAnsi"/>
          <w:sz w:val="22"/>
          <w:szCs w:val="22"/>
          <w:u w:val="single"/>
          <w:lang w:val="en-CA"/>
        </w:rPr>
        <w:t xml:space="preserve"> </w:t>
      </w:r>
      <w:r>
        <w:rPr>
          <w:sz w:val="22"/>
          <w:szCs w:val="22"/>
        </w:rPr>
        <w:t>entered into an agreement to replace the</w:t>
      </w:r>
      <w:r w:rsidRPr="002D1F47">
        <w:rPr>
          <w:sz w:val="22"/>
          <w:szCs w:val="22"/>
        </w:rPr>
        <w:t xml:space="preserve"> previously announced</w:t>
      </w:r>
      <w:r>
        <w:rPr>
          <w:sz w:val="22"/>
          <w:szCs w:val="22"/>
        </w:rPr>
        <w:t xml:space="preserve"> Master</w:t>
      </w:r>
      <w:r w:rsidRPr="002D1F47">
        <w:rPr>
          <w:sz w:val="22"/>
          <w:szCs w:val="22"/>
        </w:rPr>
        <w:t xml:space="preserve"> Distribution Agreement</w:t>
      </w:r>
      <w:r>
        <w:rPr>
          <w:sz w:val="22"/>
          <w:szCs w:val="22"/>
        </w:rPr>
        <w:t xml:space="preserve"> </w:t>
      </w:r>
      <w:r w:rsidRPr="00D85A2C">
        <w:rPr>
          <w:sz w:val="22"/>
          <w:szCs w:val="22"/>
        </w:rPr>
        <w:t>(See News Release May 28, 2015).</w:t>
      </w:r>
      <w:r w:rsidRPr="002D1F47">
        <w:rPr>
          <w:sz w:val="22"/>
          <w:szCs w:val="22"/>
        </w:rPr>
        <w:t xml:space="preserve">  Under the terms</w:t>
      </w:r>
      <w:r>
        <w:rPr>
          <w:sz w:val="22"/>
          <w:szCs w:val="22"/>
        </w:rPr>
        <w:t xml:space="preserve"> of the new agreement the Company</w:t>
      </w:r>
      <w:r w:rsidRPr="002D1F47">
        <w:rPr>
          <w:sz w:val="22"/>
          <w:szCs w:val="22"/>
        </w:rPr>
        <w:t xml:space="preserve"> will acquire the rights to distribute </w:t>
      </w:r>
      <w:r>
        <w:rPr>
          <w:sz w:val="22"/>
          <w:szCs w:val="22"/>
        </w:rPr>
        <w:t xml:space="preserve">the next generation of </w:t>
      </w:r>
      <w:r w:rsidRPr="002D1F47">
        <w:rPr>
          <w:sz w:val="22"/>
          <w:szCs w:val="22"/>
        </w:rPr>
        <w:lastRenderedPageBreak/>
        <w:t>disposable vaporizer</w:t>
      </w:r>
      <w:r>
        <w:rPr>
          <w:sz w:val="22"/>
          <w:szCs w:val="22"/>
        </w:rPr>
        <w:t>s</w:t>
      </w:r>
      <w:r w:rsidRPr="002D1F47">
        <w:rPr>
          <w:sz w:val="22"/>
          <w:szCs w:val="22"/>
        </w:rPr>
        <w:t xml:space="preserve"> </w:t>
      </w:r>
      <w:r>
        <w:rPr>
          <w:sz w:val="22"/>
          <w:szCs w:val="22"/>
        </w:rPr>
        <w:t>to</w:t>
      </w:r>
      <w:r w:rsidRPr="002D1F47">
        <w:rPr>
          <w:sz w:val="22"/>
          <w:szCs w:val="22"/>
        </w:rPr>
        <w:t xml:space="preserve"> the market under the Wildflower brand</w:t>
      </w:r>
      <w:r>
        <w:rPr>
          <w:sz w:val="22"/>
          <w:szCs w:val="22"/>
        </w:rPr>
        <w:t>. U</w:t>
      </w:r>
      <w:r w:rsidRPr="002D1F47">
        <w:rPr>
          <w:sz w:val="22"/>
          <w:szCs w:val="22"/>
        </w:rPr>
        <w:t>nder the original agree</w:t>
      </w:r>
      <w:r>
        <w:rPr>
          <w:sz w:val="22"/>
          <w:szCs w:val="22"/>
        </w:rPr>
        <w:t>ment the Company</w:t>
      </w:r>
      <w:r w:rsidRPr="002D1F47">
        <w:rPr>
          <w:sz w:val="22"/>
          <w:szCs w:val="22"/>
        </w:rPr>
        <w:t xml:space="preserve"> </w:t>
      </w:r>
      <w:r>
        <w:rPr>
          <w:sz w:val="22"/>
          <w:szCs w:val="22"/>
        </w:rPr>
        <w:t>was to</w:t>
      </w:r>
      <w:r w:rsidRPr="002D1F47">
        <w:rPr>
          <w:sz w:val="22"/>
          <w:szCs w:val="22"/>
        </w:rPr>
        <w:t xml:space="preserve"> distribute th</w:t>
      </w:r>
      <w:r>
        <w:rPr>
          <w:sz w:val="22"/>
          <w:szCs w:val="22"/>
        </w:rPr>
        <w:t xml:space="preserve">e Alcura line of CBD vaporizers. This </w:t>
      </w:r>
      <w:r w:rsidRPr="00D85A2C">
        <w:rPr>
          <w:sz w:val="22"/>
          <w:szCs w:val="22"/>
        </w:rPr>
        <w:t>new</w:t>
      </w:r>
      <w:r>
        <w:rPr>
          <w:sz w:val="22"/>
          <w:szCs w:val="22"/>
        </w:rPr>
        <w:t xml:space="preserve"> agreement allows the Company</w:t>
      </w:r>
      <w:r w:rsidRPr="002D1F47">
        <w:rPr>
          <w:sz w:val="22"/>
          <w:szCs w:val="22"/>
        </w:rPr>
        <w:t xml:space="preserve"> to produce, market and distribute a </w:t>
      </w:r>
      <w:r w:rsidRPr="00D85A2C">
        <w:rPr>
          <w:sz w:val="22"/>
          <w:szCs w:val="22"/>
        </w:rPr>
        <w:t>Wildflower</w:t>
      </w:r>
      <w:r w:rsidRPr="00D85A2C">
        <w:rPr>
          <w:b/>
          <w:sz w:val="22"/>
          <w:szCs w:val="22"/>
        </w:rPr>
        <w:t xml:space="preserve"> </w:t>
      </w:r>
      <w:r w:rsidRPr="00D85A2C">
        <w:rPr>
          <w:sz w:val="22"/>
          <w:szCs w:val="22"/>
        </w:rPr>
        <w:t xml:space="preserve">branded line of CBD blends to be used with </w:t>
      </w:r>
      <w:r w:rsidRPr="0028184B">
        <w:rPr>
          <w:sz w:val="22"/>
          <w:szCs w:val="22"/>
        </w:rPr>
        <w:t>our</w:t>
      </w:r>
      <w:r w:rsidRPr="00D85A2C">
        <w:rPr>
          <w:sz w:val="22"/>
          <w:szCs w:val="22"/>
        </w:rPr>
        <w:t xml:space="preserve"> new vaporizing technology throughout the majority of the US </w:t>
      </w:r>
      <w:r>
        <w:rPr>
          <w:sz w:val="22"/>
          <w:szCs w:val="22"/>
        </w:rPr>
        <w:t xml:space="preserve">market. </w:t>
      </w:r>
    </w:p>
    <w:p w:rsidR="00E64F70" w:rsidRPr="002D1F47" w:rsidRDefault="00E64F70" w:rsidP="00E64F70">
      <w:pPr>
        <w:pStyle w:val="NormalWeb"/>
        <w:spacing w:after="0" w:afterAutospacing="0"/>
        <w:ind w:left="720"/>
        <w:jc w:val="both"/>
        <w:rPr>
          <w:sz w:val="22"/>
          <w:szCs w:val="22"/>
        </w:rPr>
      </w:pPr>
      <w:r>
        <w:rPr>
          <w:sz w:val="22"/>
          <w:szCs w:val="22"/>
        </w:rPr>
        <w:t>During the third and fourth quarter of 2015 the Company was</w:t>
      </w:r>
      <w:r w:rsidRPr="002D1F47">
        <w:rPr>
          <w:sz w:val="22"/>
          <w:szCs w:val="22"/>
        </w:rPr>
        <w:t xml:space="preserve"> formulating various </w:t>
      </w:r>
      <w:r>
        <w:rPr>
          <w:sz w:val="22"/>
          <w:szCs w:val="22"/>
        </w:rPr>
        <w:t xml:space="preserve">CBD blends to be used with this new </w:t>
      </w:r>
      <w:r w:rsidRPr="002D1F47">
        <w:rPr>
          <w:sz w:val="22"/>
          <w:szCs w:val="22"/>
        </w:rPr>
        <w:t>technology.  The blends are proprietary formulations of CBD</w:t>
      </w:r>
      <w:r>
        <w:rPr>
          <w:sz w:val="22"/>
          <w:szCs w:val="22"/>
        </w:rPr>
        <w:t xml:space="preserve"> </w:t>
      </w:r>
      <w:r w:rsidRPr="002D1F47">
        <w:rPr>
          <w:sz w:val="22"/>
          <w:szCs w:val="22"/>
        </w:rPr>
        <w:t xml:space="preserve">and essential oils created by Wildflower in conjunction with its medical advisors </w:t>
      </w:r>
      <w:r w:rsidRPr="00D85A2C">
        <w:rPr>
          <w:sz w:val="22"/>
          <w:szCs w:val="22"/>
        </w:rPr>
        <w:t>which addresses</w:t>
      </w:r>
      <w:r w:rsidRPr="00D85A2C">
        <w:rPr>
          <w:b/>
          <w:sz w:val="22"/>
          <w:szCs w:val="22"/>
        </w:rPr>
        <w:t xml:space="preserve"> </w:t>
      </w:r>
      <w:r w:rsidRPr="00D85A2C">
        <w:rPr>
          <w:sz w:val="22"/>
          <w:szCs w:val="22"/>
        </w:rPr>
        <w:t>v</w:t>
      </w:r>
      <w:r w:rsidRPr="002D1F47">
        <w:rPr>
          <w:sz w:val="22"/>
          <w:szCs w:val="22"/>
        </w:rPr>
        <w:t xml:space="preserve">arious ailments. </w:t>
      </w:r>
      <w:r>
        <w:rPr>
          <w:sz w:val="22"/>
          <w:szCs w:val="22"/>
        </w:rPr>
        <w:t xml:space="preserve"> The Company has completed the design of the</w:t>
      </w:r>
      <w:r w:rsidRPr="002D1F47">
        <w:rPr>
          <w:sz w:val="22"/>
          <w:szCs w:val="22"/>
        </w:rPr>
        <w:t xml:space="preserve"> packaging and labeling </w:t>
      </w:r>
      <w:r>
        <w:rPr>
          <w:sz w:val="22"/>
          <w:szCs w:val="22"/>
        </w:rPr>
        <w:t xml:space="preserve">for the various CBD vaporizers and has taken delivery. </w:t>
      </w:r>
    </w:p>
    <w:p w:rsidR="00E64F70" w:rsidRPr="002D1F47" w:rsidRDefault="00E64F70" w:rsidP="00E64F70">
      <w:pPr>
        <w:pStyle w:val="NormalWeb"/>
        <w:spacing w:after="0" w:afterAutospacing="0"/>
        <w:ind w:left="720"/>
        <w:jc w:val="both"/>
        <w:rPr>
          <w:sz w:val="22"/>
          <w:szCs w:val="22"/>
        </w:rPr>
      </w:pPr>
      <w:r>
        <w:rPr>
          <w:sz w:val="22"/>
          <w:szCs w:val="22"/>
        </w:rPr>
        <w:t>The Company’s first order for the vaporizers was received in January 2016 with all vaporizers being sold within the first week</w:t>
      </w:r>
      <w:r w:rsidRPr="00D85A2C">
        <w:rPr>
          <w:sz w:val="22"/>
          <w:szCs w:val="22"/>
        </w:rPr>
        <w:t>.</w:t>
      </w:r>
      <w:r>
        <w:rPr>
          <w:sz w:val="22"/>
          <w:szCs w:val="22"/>
        </w:rPr>
        <w:t xml:space="preserve"> A new website is under construction to illustrate our updated branding and showcase our products as they are launched.  </w:t>
      </w:r>
      <w:r w:rsidRPr="002D1F47">
        <w:rPr>
          <w:sz w:val="22"/>
          <w:szCs w:val="22"/>
        </w:rPr>
        <w:t xml:space="preserve">Following the release </w:t>
      </w:r>
      <w:r>
        <w:rPr>
          <w:sz w:val="22"/>
          <w:szCs w:val="22"/>
        </w:rPr>
        <w:t>of the CBD vaporizer, an agreement for a THC version of the vaporizer was completed.</w:t>
      </w:r>
      <w:r w:rsidRPr="002D1F47">
        <w:rPr>
          <w:sz w:val="22"/>
          <w:szCs w:val="22"/>
        </w:rPr>
        <w:t xml:space="preserve">  The CBD and THC products will be made available to all I-502 cannabis retailers</w:t>
      </w:r>
      <w:r>
        <w:rPr>
          <w:sz w:val="22"/>
          <w:szCs w:val="22"/>
        </w:rPr>
        <w:t xml:space="preserve"> (Washington State) through an agreement with a Washington State processor</w:t>
      </w:r>
      <w:r w:rsidRPr="002D1F47">
        <w:rPr>
          <w:sz w:val="22"/>
          <w:szCs w:val="22"/>
        </w:rPr>
        <w:t>.  Currently there are approximately 200 I-502 retailers.  On October 12</w:t>
      </w:r>
      <w:r w:rsidRPr="002D1F47">
        <w:rPr>
          <w:sz w:val="22"/>
          <w:szCs w:val="22"/>
          <w:vertAlign w:val="superscript"/>
        </w:rPr>
        <w:t>th,</w:t>
      </w:r>
      <w:r w:rsidRPr="002D1F47">
        <w:rPr>
          <w:sz w:val="22"/>
          <w:szCs w:val="22"/>
        </w:rPr>
        <w:t xml:space="preserve"> 2015 Washington State re-opened the licensing process to allow for additional retailers under I-502 regulations. All cannabis sales will now fall under the responsibility of the</w:t>
      </w:r>
      <w:r>
        <w:rPr>
          <w:sz w:val="22"/>
          <w:szCs w:val="22"/>
        </w:rPr>
        <w:t xml:space="preserve"> Washington State</w:t>
      </w:r>
      <w:r w:rsidRPr="002D1F47">
        <w:rPr>
          <w:sz w:val="22"/>
          <w:szCs w:val="22"/>
        </w:rPr>
        <w:t xml:space="preserve"> Liquor and Cannabis Board.  Spokesperson for </w:t>
      </w:r>
      <w:r>
        <w:rPr>
          <w:sz w:val="22"/>
          <w:szCs w:val="22"/>
        </w:rPr>
        <w:t>the</w:t>
      </w:r>
      <w:r w:rsidRPr="002D1F47">
        <w:rPr>
          <w:sz w:val="22"/>
          <w:szCs w:val="22"/>
        </w:rPr>
        <w:t xml:space="preserve"> </w:t>
      </w:r>
      <w:r>
        <w:rPr>
          <w:sz w:val="22"/>
          <w:szCs w:val="22"/>
        </w:rPr>
        <w:t>B</w:t>
      </w:r>
      <w:r w:rsidRPr="002D1F47">
        <w:rPr>
          <w:sz w:val="22"/>
          <w:szCs w:val="22"/>
        </w:rPr>
        <w:t xml:space="preserve">oard, Brian Smith was quoted as saying the number of new licenses his agency can grant is </w:t>
      </w:r>
      <w:r>
        <w:rPr>
          <w:sz w:val="22"/>
          <w:szCs w:val="22"/>
        </w:rPr>
        <w:t>open-ended.  There is approximately</w:t>
      </w:r>
      <w:r w:rsidRPr="002D1F47">
        <w:rPr>
          <w:sz w:val="22"/>
          <w:szCs w:val="22"/>
        </w:rPr>
        <w:t xml:space="preserve"> 800 m</w:t>
      </w:r>
      <w:r>
        <w:rPr>
          <w:sz w:val="22"/>
          <w:szCs w:val="22"/>
        </w:rPr>
        <w:t>edical dispensaries facing closure</w:t>
      </w:r>
      <w:r w:rsidRPr="002D1F47">
        <w:rPr>
          <w:sz w:val="22"/>
          <w:szCs w:val="22"/>
        </w:rPr>
        <w:t xml:space="preserve"> but Mr. Smith</w:t>
      </w:r>
      <w:r>
        <w:rPr>
          <w:sz w:val="22"/>
          <w:szCs w:val="22"/>
        </w:rPr>
        <w:t xml:space="preserve"> stated</w:t>
      </w:r>
      <w:r w:rsidRPr="002D1F47">
        <w:rPr>
          <w:sz w:val="22"/>
          <w:szCs w:val="22"/>
        </w:rPr>
        <w:t xml:space="preserve"> that approximately 400 will be eligible for new licensing under I-</w:t>
      </w:r>
      <w:r>
        <w:rPr>
          <w:sz w:val="22"/>
          <w:szCs w:val="22"/>
        </w:rPr>
        <w:t xml:space="preserve">502 regulations.  With the majority of these medical dispensaries operating in the Greater Seattle Area and soon having to sell only product from I-502 processors, we believe there is still incredible growth for the industry in Washington State.   </w:t>
      </w:r>
    </w:p>
    <w:p w:rsidR="00E64F70" w:rsidRPr="002D1F47" w:rsidRDefault="00E64F70" w:rsidP="00E64F70">
      <w:pPr>
        <w:pStyle w:val="NormalWeb"/>
        <w:spacing w:after="0" w:afterAutospacing="0"/>
        <w:ind w:left="720"/>
        <w:jc w:val="both"/>
        <w:rPr>
          <w:sz w:val="22"/>
          <w:szCs w:val="22"/>
        </w:rPr>
      </w:pPr>
      <w:r>
        <w:rPr>
          <w:sz w:val="22"/>
          <w:szCs w:val="22"/>
        </w:rPr>
        <w:t>The Company</w:t>
      </w:r>
      <w:r w:rsidRPr="002D1F47">
        <w:rPr>
          <w:sz w:val="22"/>
          <w:szCs w:val="22"/>
        </w:rPr>
        <w:t xml:space="preserve"> </w:t>
      </w:r>
      <w:r>
        <w:rPr>
          <w:sz w:val="22"/>
          <w:szCs w:val="22"/>
        </w:rPr>
        <w:t xml:space="preserve">has prepared a comprehensive on-line marketing campaign for its </w:t>
      </w:r>
      <w:r w:rsidRPr="002D1F47">
        <w:rPr>
          <w:sz w:val="22"/>
          <w:szCs w:val="22"/>
        </w:rPr>
        <w:t>CBD vaporizer</w:t>
      </w:r>
      <w:r>
        <w:rPr>
          <w:sz w:val="22"/>
          <w:szCs w:val="22"/>
        </w:rPr>
        <w:t>.</w:t>
      </w:r>
      <w:r w:rsidRPr="002D1F47">
        <w:rPr>
          <w:sz w:val="22"/>
          <w:szCs w:val="22"/>
        </w:rPr>
        <w:t xml:space="preserve">  </w:t>
      </w:r>
      <w:r>
        <w:rPr>
          <w:sz w:val="22"/>
          <w:szCs w:val="22"/>
        </w:rPr>
        <w:t>The</w:t>
      </w:r>
      <w:r w:rsidRPr="002D1F47">
        <w:rPr>
          <w:sz w:val="22"/>
          <w:szCs w:val="22"/>
        </w:rPr>
        <w:t xml:space="preserve"> CBD blends are d</w:t>
      </w:r>
      <w:r>
        <w:rPr>
          <w:sz w:val="22"/>
          <w:szCs w:val="22"/>
        </w:rPr>
        <w:t xml:space="preserve">erived from industrial hemp with negligible </w:t>
      </w:r>
      <w:r w:rsidRPr="002D1F47">
        <w:rPr>
          <w:sz w:val="22"/>
          <w:szCs w:val="22"/>
        </w:rPr>
        <w:t>THC</w:t>
      </w:r>
      <w:r>
        <w:rPr>
          <w:sz w:val="22"/>
          <w:szCs w:val="22"/>
        </w:rPr>
        <w:t xml:space="preserve"> content</w:t>
      </w:r>
      <w:r w:rsidRPr="002D1F47">
        <w:rPr>
          <w:sz w:val="22"/>
          <w:szCs w:val="22"/>
        </w:rPr>
        <w:t xml:space="preserve"> </w:t>
      </w:r>
      <w:r>
        <w:rPr>
          <w:sz w:val="22"/>
          <w:szCs w:val="22"/>
        </w:rPr>
        <w:t xml:space="preserve">and can </w:t>
      </w:r>
      <w:r w:rsidRPr="002D1F47">
        <w:rPr>
          <w:sz w:val="22"/>
          <w:szCs w:val="22"/>
        </w:rPr>
        <w:t>be sold on</w:t>
      </w:r>
      <w:r>
        <w:rPr>
          <w:sz w:val="22"/>
          <w:szCs w:val="22"/>
        </w:rPr>
        <w:t>-line legally in most US States.</w:t>
      </w:r>
      <w:r w:rsidRPr="002D1F47">
        <w:rPr>
          <w:sz w:val="22"/>
          <w:szCs w:val="22"/>
        </w:rPr>
        <w:t xml:space="preserve">  </w:t>
      </w:r>
      <w:r>
        <w:rPr>
          <w:sz w:val="22"/>
          <w:szCs w:val="22"/>
        </w:rPr>
        <w:t xml:space="preserve">The CBD vaporizer to be launched in I-502 retail outlets will be a slight variation of the online version containing marginally more THC.  </w:t>
      </w:r>
      <w:r w:rsidRPr="002D1F47">
        <w:rPr>
          <w:sz w:val="22"/>
          <w:szCs w:val="22"/>
        </w:rPr>
        <w:t>Other distribution targets include 4,600 Natural and Health Food stores,</w:t>
      </w:r>
      <w:r>
        <w:rPr>
          <w:sz w:val="22"/>
          <w:szCs w:val="22"/>
        </w:rPr>
        <w:t xml:space="preserve"> </w:t>
      </w:r>
      <w:r w:rsidRPr="002D1F47">
        <w:rPr>
          <w:sz w:val="22"/>
          <w:szCs w:val="22"/>
        </w:rPr>
        <w:t>80</w:t>
      </w:r>
      <w:r>
        <w:rPr>
          <w:sz w:val="22"/>
          <w:szCs w:val="22"/>
        </w:rPr>
        <w:t>0 Vitamin and Supplements outlets</w:t>
      </w:r>
      <w:r w:rsidRPr="002D1F47">
        <w:rPr>
          <w:sz w:val="22"/>
          <w:szCs w:val="22"/>
        </w:rPr>
        <w:t xml:space="preserve"> as well as </w:t>
      </w:r>
      <w:r>
        <w:rPr>
          <w:sz w:val="22"/>
          <w:szCs w:val="22"/>
        </w:rPr>
        <w:t>P</w:t>
      </w:r>
      <w:r w:rsidRPr="002D1F47">
        <w:rPr>
          <w:sz w:val="22"/>
          <w:szCs w:val="22"/>
        </w:rPr>
        <w:t>harmacies and retai</w:t>
      </w:r>
      <w:r>
        <w:rPr>
          <w:sz w:val="22"/>
          <w:szCs w:val="22"/>
        </w:rPr>
        <w:t>l stores throughout Washington State.</w:t>
      </w:r>
    </w:p>
    <w:p w:rsidR="00E64F70" w:rsidRDefault="00E64F70" w:rsidP="00E21118">
      <w:pPr>
        <w:autoSpaceDE w:val="0"/>
        <w:autoSpaceDN w:val="0"/>
        <w:adjustRightInd w:val="0"/>
        <w:spacing w:after="0" w:line="240" w:lineRule="auto"/>
        <w:ind w:left="720"/>
        <w:jc w:val="both"/>
        <w:rPr>
          <w:rFonts w:ascii="Times New Roman" w:hAnsi="Times New Roman" w:cs="Times New Roman"/>
          <w:lang w:val="en-US"/>
        </w:rPr>
      </w:pPr>
    </w:p>
    <w:p w:rsidR="007828F1" w:rsidRDefault="007828F1" w:rsidP="007828F1">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In Washington State, licensing requirements stipulate that all license holders and their shareholders,</w:t>
      </w:r>
      <w:r>
        <w:rPr>
          <w:rFonts w:ascii="Times New Roman" w:hAnsi="Times New Roman" w:cs="Times New Roman"/>
          <w:lang w:val="en-US"/>
        </w:rPr>
        <w:t xml:space="preserve"> </w:t>
      </w:r>
      <w:r w:rsidRPr="00BF4291">
        <w:rPr>
          <w:rFonts w:ascii="Times New Roman" w:hAnsi="Times New Roman" w:cs="Times New Roman"/>
          <w:lang w:val="en-US"/>
        </w:rPr>
        <w:t>directors, officer and financiers must be Washington State residents. While Wildflower cannot hold any</w:t>
      </w:r>
      <w:r>
        <w:rPr>
          <w:rFonts w:ascii="Times New Roman" w:hAnsi="Times New Roman" w:cs="Times New Roman"/>
          <w:lang w:val="en-US"/>
        </w:rPr>
        <w:t xml:space="preserve"> </w:t>
      </w:r>
      <w:r w:rsidRPr="00BF4291">
        <w:rPr>
          <w:rFonts w:ascii="Times New Roman" w:hAnsi="Times New Roman" w:cs="Times New Roman"/>
          <w:lang w:val="en-US"/>
        </w:rPr>
        <w:t>interest in any license in Washington State it can license its brand and provide consulting services.</w:t>
      </w:r>
      <w:r>
        <w:rPr>
          <w:rFonts w:ascii="Times New Roman" w:hAnsi="Times New Roman" w:cs="Times New Roman"/>
          <w:lang w:val="en-US"/>
        </w:rPr>
        <w:t xml:space="preserve"> </w:t>
      </w:r>
      <w:r w:rsidRPr="00BF4291">
        <w:rPr>
          <w:rFonts w:ascii="Times New Roman" w:hAnsi="Times New Roman" w:cs="Times New Roman"/>
          <w:lang w:val="en-US"/>
        </w:rPr>
        <w:t>These consulting services will involve the implementation of Wildflower’s Quality Assurance Program,</w:t>
      </w:r>
      <w:r>
        <w:rPr>
          <w:rFonts w:ascii="Times New Roman" w:hAnsi="Times New Roman" w:cs="Times New Roman"/>
          <w:lang w:val="en-US"/>
        </w:rPr>
        <w:t xml:space="preserve"> </w:t>
      </w:r>
      <w:r w:rsidRPr="00BF4291">
        <w:rPr>
          <w:rFonts w:ascii="Times New Roman" w:hAnsi="Times New Roman" w:cs="Times New Roman"/>
          <w:lang w:val="en-US"/>
        </w:rPr>
        <w:t>Standard Operating Procedures and Good Manufacturing Practices to ensure all products associated with</w:t>
      </w:r>
      <w:r>
        <w:rPr>
          <w:rFonts w:ascii="Times New Roman" w:hAnsi="Times New Roman" w:cs="Times New Roman"/>
          <w:lang w:val="en-US"/>
        </w:rPr>
        <w:t xml:space="preserve"> </w:t>
      </w:r>
      <w:r w:rsidRPr="00BF4291">
        <w:rPr>
          <w:rFonts w:ascii="Times New Roman" w:hAnsi="Times New Roman" w:cs="Times New Roman"/>
          <w:lang w:val="en-US"/>
        </w:rPr>
        <w:t>the Wildflower brand are of the highest quality.</w:t>
      </w:r>
    </w:p>
    <w:p w:rsidR="007828F1" w:rsidRPr="00BF4291" w:rsidRDefault="007828F1" w:rsidP="007828F1">
      <w:pPr>
        <w:autoSpaceDE w:val="0"/>
        <w:autoSpaceDN w:val="0"/>
        <w:adjustRightInd w:val="0"/>
        <w:spacing w:after="0" w:line="240" w:lineRule="auto"/>
        <w:ind w:left="720"/>
        <w:jc w:val="both"/>
        <w:rPr>
          <w:rFonts w:ascii="Times New Roman" w:hAnsi="Times New Roman" w:cs="Times New Roman"/>
          <w:lang w:val="en-US"/>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In March 2015, the Company announced entered into a Letter of Intent to form a Licensing Joint Venture (the “Joint Venture”)</w:t>
      </w:r>
      <w:r>
        <w:rPr>
          <w:rFonts w:ascii="Times New Roman" w:hAnsi="Times New Roman" w:cs="Times New Roman"/>
          <w:lang w:val="en-US"/>
        </w:rPr>
        <w:t xml:space="preserve"> </w:t>
      </w:r>
      <w:r w:rsidRPr="00BF4291">
        <w:rPr>
          <w:rFonts w:ascii="Times New Roman" w:hAnsi="Times New Roman" w:cs="Times New Roman"/>
          <w:lang w:val="en-US"/>
        </w:rPr>
        <w:t xml:space="preserve">with a licensed marijuana producer in Washington State. Pursuant to the Joint Venture, Wildflower will grant an exclusive license to </w:t>
      </w:r>
      <w:r w:rsidRPr="00BF4291">
        <w:rPr>
          <w:rFonts w:ascii="Times New Roman" w:hAnsi="Times New Roman" w:cs="Times New Roman"/>
          <w:lang w:val="en-US"/>
        </w:rPr>
        <w:lastRenderedPageBreak/>
        <w:t>manufacture,</w:t>
      </w:r>
      <w:r>
        <w:rPr>
          <w:rFonts w:ascii="Times New Roman" w:hAnsi="Times New Roman" w:cs="Times New Roman"/>
          <w:lang w:val="en-US"/>
        </w:rPr>
        <w:t xml:space="preserve"> </w:t>
      </w:r>
      <w:r w:rsidRPr="00BF4291">
        <w:rPr>
          <w:rFonts w:ascii="Times New Roman" w:hAnsi="Times New Roman" w:cs="Times New Roman"/>
          <w:lang w:val="en-US"/>
        </w:rPr>
        <w:t>market and sell</w:t>
      </w:r>
      <w:r>
        <w:rPr>
          <w:rFonts w:ascii="Times New Roman" w:hAnsi="Times New Roman" w:cs="Times New Roman"/>
          <w:lang w:val="en-US"/>
        </w:rPr>
        <w:t xml:space="preserve"> </w:t>
      </w:r>
      <w:r w:rsidRPr="00BF4291">
        <w:rPr>
          <w:rFonts w:ascii="Times New Roman" w:hAnsi="Times New Roman" w:cs="Times New Roman"/>
          <w:lang w:val="en-US"/>
        </w:rPr>
        <w:t>certain products, recipes, retail merchandise and promotional materials under the Wildflower brand in the</w:t>
      </w:r>
      <w:r>
        <w:rPr>
          <w:rFonts w:ascii="Times New Roman" w:hAnsi="Times New Roman" w:cs="Times New Roman"/>
          <w:lang w:val="en-US"/>
        </w:rPr>
        <w:t xml:space="preserve"> </w:t>
      </w:r>
      <w:r w:rsidRPr="00BF4291">
        <w:rPr>
          <w:rFonts w:ascii="Times New Roman" w:hAnsi="Times New Roman" w:cs="Times New Roman"/>
          <w:lang w:val="en-US"/>
        </w:rPr>
        <w:t>State of Washington. As part of the agreement, Wildflower will issue 1,303,800 shares and pay $250,000</w:t>
      </w:r>
      <w:r>
        <w:rPr>
          <w:rFonts w:ascii="Times New Roman" w:hAnsi="Times New Roman" w:cs="Times New Roman"/>
          <w:lang w:val="en-US"/>
        </w:rPr>
        <w:t xml:space="preserve"> </w:t>
      </w:r>
      <w:r w:rsidRPr="00BF4291">
        <w:rPr>
          <w:rFonts w:ascii="Times New Roman" w:hAnsi="Times New Roman" w:cs="Times New Roman"/>
          <w:lang w:val="en-US"/>
        </w:rPr>
        <w:t>to its Joint Venture partner and contribute $1,100,000 in working capital to develop the brand. In</w:t>
      </w:r>
      <w:r>
        <w:rPr>
          <w:rFonts w:ascii="Times New Roman" w:hAnsi="Times New Roman" w:cs="Times New Roman"/>
          <w:lang w:val="en-US"/>
        </w:rPr>
        <w:t xml:space="preserve"> </w:t>
      </w:r>
      <w:r w:rsidRPr="00BF4291">
        <w:rPr>
          <w:rFonts w:ascii="Times New Roman" w:hAnsi="Times New Roman" w:cs="Times New Roman"/>
          <w:lang w:val="en-US"/>
        </w:rPr>
        <w:t>consideration, Wildflower will receive a licensing fee equal to 20% of the gross sales of Wildflower</w:t>
      </w:r>
      <w:r>
        <w:rPr>
          <w:rFonts w:ascii="Times New Roman" w:hAnsi="Times New Roman" w:cs="Times New Roman"/>
          <w:lang w:val="en-US"/>
        </w:rPr>
        <w:t xml:space="preserve"> </w:t>
      </w:r>
      <w:r w:rsidRPr="00BF4291">
        <w:rPr>
          <w:rFonts w:ascii="Times New Roman" w:hAnsi="Times New Roman" w:cs="Times New Roman"/>
          <w:lang w:val="en-US"/>
        </w:rPr>
        <w:t>branded products. Wildflower’s joint venture partner has been in the marijuana business since 1998 and</w:t>
      </w:r>
      <w:r>
        <w:rPr>
          <w:rFonts w:ascii="Times New Roman" w:hAnsi="Times New Roman" w:cs="Times New Roman"/>
          <w:lang w:val="en-US"/>
        </w:rPr>
        <w:t xml:space="preserve"> </w:t>
      </w:r>
      <w:r w:rsidRPr="00BF4291">
        <w:rPr>
          <w:rFonts w:ascii="Times New Roman" w:hAnsi="Times New Roman" w:cs="Times New Roman"/>
          <w:lang w:val="en-US"/>
        </w:rPr>
        <w:t>has operated a medical dispensary since 2012. The partner has agreed to negotiate in good faith</w:t>
      </w:r>
      <w:r>
        <w:rPr>
          <w:rFonts w:ascii="Times New Roman" w:hAnsi="Times New Roman" w:cs="Times New Roman"/>
          <w:lang w:val="en-US"/>
        </w:rPr>
        <w:t xml:space="preserve"> </w:t>
      </w:r>
      <w:r w:rsidRPr="00BF4291">
        <w:rPr>
          <w:rFonts w:ascii="Times New Roman" w:hAnsi="Times New Roman" w:cs="Times New Roman"/>
          <w:lang w:val="en-US"/>
        </w:rPr>
        <w:t>combining these operations into the Joint Venture at such time as the law permits. Washington State is</w:t>
      </w:r>
      <w:r>
        <w:rPr>
          <w:rFonts w:ascii="Times New Roman" w:hAnsi="Times New Roman" w:cs="Times New Roman"/>
          <w:lang w:val="en-US"/>
        </w:rPr>
        <w:t xml:space="preserve"> </w:t>
      </w:r>
      <w:r w:rsidRPr="00BF4291">
        <w:rPr>
          <w:rFonts w:ascii="Times New Roman" w:hAnsi="Times New Roman" w:cs="Times New Roman"/>
          <w:lang w:val="en-US"/>
        </w:rPr>
        <w:t>currently developing new rules regulating medical dispensaries. Further, Wildflower will work closely with</w:t>
      </w:r>
      <w:r>
        <w:rPr>
          <w:rFonts w:ascii="Times New Roman" w:hAnsi="Times New Roman" w:cs="Times New Roman"/>
          <w:lang w:val="en-US"/>
        </w:rPr>
        <w:t xml:space="preserve"> </w:t>
      </w:r>
      <w:r w:rsidRPr="00BF4291">
        <w:rPr>
          <w:rFonts w:ascii="Times New Roman" w:hAnsi="Times New Roman" w:cs="Times New Roman"/>
          <w:lang w:val="en-US"/>
        </w:rPr>
        <w:t>its Joint Venture partner to implement Wildflower’s Quality Assurance Program, Standard Operating</w:t>
      </w:r>
      <w:r>
        <w:rPr>
          <w:rFonts w:ascii="Times New Roman" w:hAnsi="Times New Roman" w:cs="Times New Roman"/>
          <w:lang w:val="en-US"/>
        </w:rPr>
        <w:t xml:space="preserve"> </w:t>
      </w:r>
      <w:r w:rsidRPr="00BF4291">
        <w:rPr>
          <w:rFonts w:ascii="Times New Roman" w:hAnsi="Times New Roman" w:cs="Times New Roman"/>
          <w:lang w:val="en-US"/>
        </w:rPr>
        <w:t>Procedures and Good Manufacturing Practices to ensure the highest quality is produced for the</w:t>
      </w:r>
      <w:r>
        <w:rPr>
          <w:rFonts w:ascii="Times New Roman" w:hAnsi="Times New Roman" w:cs="Times New Roman"/>
          <w:lang w:val="en-US"/>
        </w:rPr>
        <w:t xml:space="preserve"> W</w:t>
      </w:r>
      <w:r w:rsidRPr="00BF4291">
        <w:rPr>
          <w:rFonts w:ascii="Times New Roman" w:hAnsi="Times New Roman" w:cs="Times New Roman"/>
          <w:lang w:val="en-US"/>
        </w:rPr>
        <w:t>ildflower brand. As part of the transaction, Wildflower has agreed to pay a commission in accordance</w:t>
      </w:r>
      <w:r>
        <w:rPr>
          <w:rFonts w:ascii="Times New Roman" w:hAnsi="Times New Roman" w:cs="Times New Roman"/>
          <w:lang w:val="en-US"/>
        </w:rPr>
        <w:t xml:space="preserve"> </w:t>
      </w:r>
      <w:r w:rsidRPr="00BF4291">
        <w:rPr>
          <w:rFonts w:ascii="Times New Roman" w:hAnsi="Times New Roman" w:cs="Times New Roman"/>
          <w:lang w:val="en-US"/>
        </w:rPr>
        <w:t>with regulatory guidelines.</w:t>
      </w: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As Wildflower’s Joint Venture partner is currently producing and selling marijuana and related products,</w:t>
      </w:r>
      <w:r>
        <w:rPr>
          <w:rFonts w:ascii="Times New Roman" w:hAnsi="Times New Roman" w:cs="Times New Roman"/>
          <w:lang w:val="en-US"/>
        </w:rPr>
        <w:t xml:space="preserve"> </w:t>
      </w:r>
      <w:r w:rsidRPr="00BF4291">
        <w:rPr>
          <w:rFonts w:ascii="Times New Roman" w:hAnsi="Times New Roman" w:cs="Times New Roman"/>
          <w:lang w:val="en-US"/>
        </w:rPr>
        <w:t>once the transaction closes Wildflower can immediately commence sales of Wildflower branded products.</w:t>
      </w:r>
      <w:r>
        <w:rPr>
          <w:rFonts w:ascii="Times New Roman" w:hAnsi="Times New Roman" w:cs="Times New Roman"/>
          <w:lang w:val="en-US"/>
        </w:rPr>
        <w:t xml:space="preserve"> </w:t>
      </w:r>
      <w:r w:rsidRPr="00BF4291">
        <w:rPr>
          <w:rFonts w:ascii="Times New Roman" w:hAnsi="Times New Roman" w:cs="Times New Roman"/>
          <w:lang w:val="en-US"/>
        </w:rPr>
        <w:t>Work has already begun to identify new and unique product lines.</w:t>
      </w:r>
      <w:r>
        <w:rPr>
          <w:rFonts w:ascii="Times New Roman" w:hAnsi="Times New Roman" w:cs="Times New Roman"/>
          <w:lang w:val="en-US"/>
        </w:rPr>
        <w:t xml:space="preserve"> </w:t>
      </w: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Pursuant to the Joint Venture all production from the license will be sold under the Wildflower brand. In</w:t>
      </w:r>
      <w:r>
        <w:rPr>
          <w:rFonts w:ascii="Times New Roman" w:hAnsi="Times New Roman" w:cs="Times New Roman"/>
          <w:lang w:val="en-US"/>
        </w:rPr>
        <w:t xml:space="preserve"> </w:t>
      </w:r>
      <w:r w:rsidRPr="00BF4291">
        <w:rPr>
          <w:rFonts w:ascii="Times New Roman" w:hAnsi="Times New Roman" w:cs="Times New Roman"/>
          <w:lang w:val="en-US"/>
        </w:rPr>
        <w:t>Washington State, licensing requirements stipulate that all license holders and their shareholders,</w:t>
      </w:r>
      <w:r>
        <w:rPr>
          <w:rFonts w:ascii="Times New Roman" w:hAnsi="Times New Roman" w:cs="Times New Roman"/>
          <w:lang w:val="en-US"/>
        </w:rPr>
        <w:t xml:space="preserve"> </w:t>
      </w:r>
      <w:r w:rsidRPr="00BF4291">
        <w:rPr>
          <w:rFonts w:ascii="Times New Roman" w:hAnsi="Times New Roman" w:cs="Times New Roman"/>
          <w:lang w:val="en-US"/>
        </w:rPr>
        <w:t>directors, officer and financiers be Washington State residents. While Wildflower cannot have any</w:t>
      </w:r>
      <w:r>
        <w:rPr>
          <w:rFonts w:ascii="Times New Roman" w:hAnsi="Times New Roman" w:cs="Times New Roman"/>
          <w:lang w:val="en-US"/>
        </w:rPr>
        <w:t xml:space="preserve"> </w:t>
      </w:r>
      <w:r w:rsidRPr="00BF4291">
        <w:rPr>
          <w:rFonts w:ascii="Times New Roman" w:hAnsi="Times New Roman" w:cs="Times New Roman"/>
          <w:lang w:val="en-US"/>
        </w:rPr>
        <w:t>interest in any license in Washington State it can license its brand and provide consulting services to</w:t>
      </w:r>
      <w:r>
        <w:rPr>
          <w:rFonts w:ascii="Times New Roman" w:hAnsi="Times New Roman" w:cs="Times New Roman"/>
          <w:lang w:val="en-US"/>
        </w:rPr>
        <w:t xml:space="preserve"> </w:t>
      </w:r>
      <w:r w:rsidRPr="00BF4291">
        <w:rPr>
          <w:rFonts w:ascii="Times New Roman" w:hAnsi="Times New Roman" w:cs="Times New Roman"/>
          <w:lang w:val="en-US"/>
        </w:rPr>
        <w:t>ensure all products associated with the Wildflower brand are of the highest quality.</w:t>
      </w: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The Washington market has approximately 370,000 cannabis users that consume approximately 175</w:t>
      </w:r>
      <w:r>
        <w:rPr>
          <w:rFonts w:ascii="Times New Roman" w:hAnsi="Times New Roman" w:cs="Times New Roman"/>
          <w:lang w:val="en-US"/>
        </w:rPr>
        <w:t xml:space="preserve"> </w:t>
      </w:r>
      <w:r w:rsidRPr="00BF4291">
        <w:rPr>
          <w:rFonts w:ascii="Times New Roman" w:hAnsi="Times New Roman" w:cs="Times New Roman"/>
          <w:lang w:val="en-US"/>
        </w:rPr>
        <w:t>metric tons (175,000,000 grams) of marijuana annually according to a study by the Rand Corporation,</w:t>
      </w:r>
      <w:r>
        <w:rPr>
          <w:rFonts w:ascii="Times New Roman" w:hAnsi="Times New Roman" w:cs="Times New Roman"/>
          <w:lang w:val="en-US"/>
        </w:rPr>
        <w:t xml:space="preserve"> </w:t>
      </w:r>
      <w:r w:rsidRPr="00BF4291">
        <w:rPr>
          <w:rFonts w:ascii="Times New Roman" w:hAnsi="Times New Roman" w:cs="Times New Roman"/>
          <w:lang w:val="en-US"/>
        </w:rPr>
        <w:t>approximately double what was predicted by the State of Washington. In comparison, the legal Canadian</w:t>
      </w:r>
      <w:r>
        <w:rPr>
          <w:rFonts w:ascii="Times New Roman" w:hAnsi="Times New Roman" w:cs="Times New Roman"/>
          <w:lang w:val="en-US"/>
        </w:rPr>
        <w:t xml:space="preserve"> </w:t>
      </w:r>
      <w:r w:rsidRPr="00BF4291">
        <w:rPr>
          <w:rFonts w:ascii="Times New Roman" w:hAnsi="Times New Roman" w:cs="Times New Roman"/>
          <w:lang w:val="en-US"/>
        </w:rPr>
        <w:t>medicinal market has approximately 59,000 registered patients. Wildflower’s Joint Venture partner is an</w:t>
      </w:r>
      <w:r>
        <w:rPr>
          <w:rFonts w:ascii="Times New Roman" w:hAnsi="Times New Roman" w:cs="Times New Roman"/>
          <w:lang w:val="en-US"/>
        </w:rPr>
        <w:t xml:space="preserve"> </w:t>
      </w:r>
      <w:r w:rsidRPr="00BF4291">
        <w:rPr>
          <w:rFonts w:ascii="Times New Roman" w:hAnsi="Times New Roman" w:cs="Times New Roman"/>
          <w:lang w:val="en-US"/>
        </w:rPr>
        <w:t>I-502 production and processing licensee specializing in the manufacturing of cannabis concentrates.</w:t>
      </w: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rPr>
      </w:pPr>
      <w:r w:rsidRPr="00BF4291">
        <w:rPr>
          <w:rFonts w:ascii="Times New Roman" w:hAnsi="Times New Roman" w:cs="Times New Roman"/>
          <w:lang w:val="en-US"/>
        </w:rPr>
        <w:t>These concentrates will provide the cornerstone to many of the Wildflower product lines such as infused</w:t>
      </w:r>
      <w:r>
        <w:rPr>
          <w:rFonts w:ascii="Times New Roman" w:hAnsi="Times New Roman" w:cs="Times New Roman"/>
          <w:lang w:val="en-US"/>
        </w:rPr>
        <w:t xml:space="preserve"> </w:t>
      </w:r>
      <w:r w:rsidRPr="00BF4291">
        <w:rPr>
          <w:rFonts w:ascii="Times New Roman" w:hAnsi="Times New Roman" w:cs="Times New Roman"/>
          <w:lang w:val="en-US"/>
        </w:rPr>
        <w:t>edibles, drinks, oils and topical products to name a few. The production license is a Tier 2 license and is</w:t>
      </w:r>
      <w:r>
        <w:rPr>
          <w:rFonts w:ascii="Times New Roman" w:hAnsi="Times New Roman" w:cs="Times New Roman"/>
          <w:lang w:val="en-US"/>
        </w:rPr>
        <w:t xml:space="preserve"> </w:t>
      </w:r>
      <w:r w:rsidRPr="00BF4291">
        <w:rPr>
          <w:rFonts w:ascii="Times New Roman" w:hAnsi="Times New Roman" w:cs="Times New Roman"/>
          <w:lang w:val="en-US"/>
        </w:rPr>
        <w:t>expected to produce approximately 1200 pounds of cannabis in 2015. The processing license allows</w:t>
      </w:r>
      <w:r>
        <w:rPr>
          <w:rFonts w:ascii="Times New Roman" w:hAnsi="Times New Roman" w:cs="Times New Roman"/>
          <w:lang w:val="en-US"/>
        </w:rPr>
        <w:t xml:space="preserve"> </w:t>
      </w:r>
      <w:r w:rsidRPr="00BF4291">
        <w:rPr>
          <w:rFonts w:ascii="Times New Roman" w:hAnsi="Times New Roman" w:cs="Times New Roman"/>
          <w:lang w:val="en-US"/>
        </w:rPr>
        <w:t>Wildflower’s Joint Venture partner to make other products from cannabis and distribute to all retail outlets</w:t>
      </w:r>
      <w:r>
        <w:rPr>
          <w:rFonts w:ascii="Times New Roman" w:hAnsi="Times New Roman" w:cs="Times New Roman"/>
          <w:lang w:val="en-US"/>
        </w:rPr>
        <w:t xml:space="preserve"> </w:t>
      </w:r>
      <w:r w:rsidRPr="00BF4291">
        <w:rPr>
          <w:rFonts w:ascii="Times New Roman" w:hAnsi="Times New Roman" w:cs="Times New Roman"/>
          <w:lang w:val="en-US"/>
        </w:rPr>
        <w:t>in Washington State. Further, the processing license allows the holder to purchase wholesale cannabis</w:t>
      </w:r>
      <w:r>
        <w:rPr>
          <w:rFonts w:ascii="Times New Roman" w:hAnsi="Times New Roman" w:cs="Times New Roman"/>
          <w:lang w:val="en-US"/>
        </w:rPr>
        <w:t xml:space="preserve"> </w:t>
      </w:r>
      <w:r w:rsidRPr="00BF4291">
        <w:rPr>
          <w:rFonts w:ascii="Times New Roman" w:hAnsi="Times New Roman" w:cs="Times New Roman"/>
          <w:lang w:val="en-US"/>
        </w:rPr>
        <w:t>from other producers.</w:t>
      </w:r>
    </w:p>
    <w:p w:rsidR="00E21118" w:rsidRDefault="00E21118" w:rsidP="00E21118">
      <w:pPr>
        <w:autoSpaceDE w:val="0"/>
        <w:autoSpaceDN w:val="0"/>
        <w:adjustRightInd w:val="0"/>
        <w:spacing w:after="0" w:line="240" w:lineRule="auto"/>
        <w:ind w:left="720"/>
        <w:jc w:val="both"/>
        <w:rPr>
          <w:rFonts w:ascii="Times New Roman" w:hAnsi="Times New Roman" w:cs="Times New Roman"/>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rPr>
        <w:t xml:space="preserve">In April 2015, the Company announced </w:t>
      </w:r>
      <w:r w:rsidRPr="00BF4291">
        <w:rPr>
          <w:rFonts w:ascii="Times New Roman" w:hAnsi="Times New Roman" w:cs="Times New Roman"/>
          <w:lang w:val="en-US"/>
        </w:rPr>
        <w:t>has signed a Letter of Intent with a manufacturer of cannabis e-juice. The Joint Venture is established to</w:t>
      </w:r>
      <w:r>
        <w:rPr>
          <w:rFonts w:ascii="Times New Roman" w:hAnsi="Times New Roman" w:cs="Times New Roman"/>
          <w:lang w:val="en-US"/>
        </w:rPr>
        <w:t xml:space="preserve"> </w:t>
      </w:r>
      <w:r w:rsidRPr="00BF4291">
        <w:rPr>
          <w:rFonts w:ascii="Times New Roman" w:hAnsi="Times New Roman" w:cs="Times New Roman"/>
          <w:lang w:val="en-US"/>
        </w:rPr>
        <w:t>develop a line of e-juice products for Wildflower. The Joint Venture partner is currently a licensed Tier 3</w:t>
      </w:r>
      <w:r>
        <w:rPr>
          <w:rFonts w:ascii="Times New Roman" w:hAnsi="Times New Roman" w:cs="Times New Roman"/>
          <w:lang w:val="en-US"/>
        </w:rPr>
        <w:t xml:space="preserve"> </w:t>
      </w:r>
      <w:r w:rsidRPr="00BF4291">
        <w:rPr>
          <w:rFonts w:ascii="Times New Roman" w:hAnsi="Times New Roman" w:cs="Times New Roman"/>
          <w:lang w:val="en-US"/>
        </w:rPr>
        <w:t>producer and processor in the State of Washington.</w:t>
      </w: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E21118" w:rsidRDefault="00E21118" w:rsidP="00E21118">
      <w:pPr>
        <w:autoSpaceDE w:val="0"/>
        <w:autoSpaceDN w:val="0"/>
        <w:adjustRightInd w:val="0"/>
        <w:spacing w:after="0" w:line="240" w:lineRule="auto"/>
        <w:ind w:left="720"/>
        <w:jc w:val="both"/>
        <w:rPr>
          <w:rFonts w:ascii="Times New Roman" w:hAnsi="Times New Roman" w:cs="Times New Roman"/>
          <w:lang w:val="en-US"/>
        </w:rPr>
      </w:pPr>
      <w:r w:rsidRPr="00BF4291">
        <w:rPr>
          <w:rFonts w:ascii="Times New Roman" w:hAnsi="Times New Roman" w:cs="Times New Roman"/>
          <w:lang w:val="en-US"/>
        </w:rPr>
        <w:t>Pursuant to the Joint Venture Wildflower will grant an exclusive license to manufacture, market and sell</w:t>
      </w:r>
      <w:r>
        <w:rPr>
          <w:rFonts w:ascii="Times New Roman" w:hAnsi="Times New Roman" w:cs="Times New Roman"/>
          <w:lang w:val="en-US"/>
        </w:rPr>
        <w:t xml:space="preserve"> </w:t>
      </w:r>
      <w:r w:rsidRPr="00BF4291">
        <w:rPr>
          <w:rFonts w:ascii="Times New Roman" w:hAnsi="Times New Roman" w:cs="Times New Roman"/>
          <w:lang w:val="en-US"/>
        </w:rPr>
        <w:t xml:space="preserve">certain products, recipes, and promotional materials under the Wildflower </w:t>
      </w:r>
      <w:r w:rsidRPr="00BF4291">
        <w:rPr>
          <w:rFonts w:ascii="Times New Roman" w:hAnsi="Times New Roman" w:cs="Times New Roman"/>
          <w:lang w:val="en-US"/>
        </w:rPr>
        <w:lastRenderedPageBreak/>
        <w:t>brand in the State of</w:t>
      </w:r>
      <w:r>
        <w:rPr>
          <w:rFonts w:ascii="Times New Roman" w:hAnsi="Times New Roman" w:cs="Times New Roman"/>
          <w:lang w:val="en-US"/>
        </w:rPr>
        <w:t xml:space="preserve"> </w:t>
      </w:r>
      <w:r w:rsidRPr="00BF4291">
        <w:rPr>
          <w:rFonts w:ascii="Times New Roman" w:hAnsi="Times New Roman" w:cs="Times New Roman"/>
          <w:lang w:val="en-US"/>
        </w:rPr>
        <w:t>Washington. As part of the agreement, Wildflower will issue 400,000 shares and pay $85,000 to its Joint</w:t>
      </w:r>
      <w:r>
        <w:rPr>
          <w:rFonts w:ascii="Times New Roman" w:hAnsi="Times New Roman" w:cs="Times New Roman"/>
          <w:lang w:val="en-US"/>
        </w:rPr>
        <w:t xml:space="preserve"> </w:t>
      </w:r>
      <w:r w:rsidRPr="00BF4291">
        <w:rPr>
          <w:rFonts w:ascii="Times New Roman" w:hAnsi="Times New Roman" w:cs="Times New Roman"/>
          <w:lang w:val="en-US"/>
        </w:rPr>
        <w:t>Venture partner. In consideration, Wildflower will receive a licensing fee equal to 20% of the gross sales</w:t>
      </w:r>
      <w:r>
        <w:rPr>
          <w:rFonts w:ascii="Times New Roman" w:hAnsi="Times New Roman" w:cs="Times New Roman"/>
          <w:lang w:val="en-US"/>
        </w:rPr>
        <w:t xml:space="preserve"> </w:t>
      </w:r>
      <w:r w:rsidRPr="00BF4291">
        <w:rPr>
          <w:rFonts w:ascii="Times New Roman" w:hAnsi="Times New Roman" w:cs="Times New Roman"/>
          <w:lang w:val="en-US"/>
        </w:rPr>
        <w:t>of Wildflower branded products.</w:t>
      </w:r>
    </w:p>
    <w:p w:rsidR="00E21118" w:rsidRPr="00BF4291" w:rsidRDefault="00E21118" w:rsidP="00E21118">
      <w:pPr>
        <w:autoSpaceDE w:val="0"/>
        <w:autoSpaceDN w:val="0"/>
        <w:adjustRightInd w:val="0"/>
        <w:spacing w:after="0" w:line="240" w:lineRule="auto"/>
        <w:ind w:left="720"/>
        <w:jc w:val="both"/>
        <w:rPr>
          <w:rFonts w:ascii="Times New Roman" w:hAnsi="Times New Roman" w:cs="Times New Roman"/>
          <w:lang w:val="en-US"/>
        </w:rPr>
      </w:pPr>
    </w:p>
    <w:p w:rsidR="007D3D8A" w:rsidRDefault="007D3D8A" w:rsidP="00E21118">
      <w:pPr>
        <w:autoSpaceDE w:val="0"/>
        <w:autoSpaceDN w:val="0"/>
        <w:adjustRightInd w:val="0"/>
        <w:spacing w:after="0" w:line="240" w:lineRule="auto"/>
        <w:ind w:left="720"/>
        <w:jc w:val="both"/>
        <w:rPr>
          <w:rFonts w:ascii="Times New Roman" w:hAnsi="Times New Roman" w:cs="Times New Roman"/>
          <w:lang w:val="en-US"/>
        </w:rPr>
      </w:pPr>
      <w:r>
        <w:rPr>
          <w:rFonts w:ascii="Times New Roman" w:hAnsi="Times New Roman" w:cs="Times New Roman"/>
          <w:lang w:val="en-US"/>
        </w:rPr>
        <w:t xml:space="preserve">In February 2016, the Company announced it reached a major milestone by becoming Canada's first cannabis company to launch a line of products into the legal US cannabis market. The first delivery of Wildflower's disposable vaporizers made their way into retail store shelves in Washington. The vaporizers have reservoirs filled with different blends, four or which were sold into the Washington market. Two blends were high in THC content, the active ingredient in cannabis giving it its narcotic and psychoactive effect. The other two blends had higher CBD contest which is a constituent in cannabis providing health benefits. Additional blends have since been made available. </w:t>
      </w:r>
    </w:p>
    <w:p w:rsidR="00E64F70" w:rsidRPr="004F4DF6" w:rsidRDefault="00E64F70" w:rsidP="00E21118">
      <w:pPr>
        <w:autoSpaceDE w:val="0"/>
        <w:autoSpaceDN w:val="0"/>
        <w:adjustRightInd w:val="0"/>
        <w:spacing w:after="0" w:line="240" w:lineRule="auto"/>
        <w:ind w:left="720"/>
        <w:jc w:val="both"/>
        <w:rPr>
          <w:rFonts w:ascii="Times New Roman" w:hAnsi="Times New Roman" w:cs="Times New Roman"/>
        </w:rPr>
      </w:pPr>
    </w:p>
    <w:p w:rsidR="00266CFF" w:rsidRPr="00266CFF" w:rsidRDefault="00266CFF" w:rsidP="007D2095">
      <w:pPr>
        <w:keepNext/>
        <w:keepLines/>
        <w:tabs>
          <w:tab w:val="left" w:pos="-1440"/>
        </w:tabs>
        <w:spacing w:after="0" w:line="240" w:lineRule="auto"/>
        <w:ind w:left="720" w:hanging="720"/>
        <w:jc w:val="both"/>
        <w:rPr>
          <w:rFonts w:ascii="Times New Roman" w:eastAsia="Times New Roman" w:hAnsi="Times New Roman" w:cs="Times New Roman"/>
          <w:sz w:val="12"/>
          <w:szCs w:val="12"/>
        </w:rPr>
      </w:pPr>
    </w:p>
    <w:p w:rsidR="00253C6F" w:rsidRPr="00253C6F" w:rsidRDefault="00E64F70" w:rsidP="00253C6F">
      <w:pPr>
        <w:autoSpaceDE w:val="0"/>
        <w:autoSpaceDN w:val="0"/>
        <w:adjustRightInd w:val="0"/>
        <w:spacing w:after="0" w:line="240" w:lineRule="auto"/>
        <w:rPr>
          <w:rFonts w:ascii="TimesNewRoman,Bold" w:eastAsia="Times New Roman" w:hAnsi="TimesNewRoman,Bold" w:cs="TimesNewRoman,Bold"/>
          <w:b/>
          <w:bCs/>
          <w:szCs w:val="24"/>
          <w:u w:val="single"/>
          <w:lang w:val="en-US" w:bidi="fa-IR"/>
        </w:rPr>
      </w:pPr>
      <w:r>
        <w:rPr>
          <w:rFonts w:ascii="TimesNewRoman,Bold" w:eastAsia="Times New Roman" w:hAnsi="TimesNewRoman,Bold" w:cs="TimesNewRoman,Bold"/>
          <w:lang w:val="en-US" w:bidi="fa-IR"/>
        </w:rPr>
        <w:t>1.3</w:t>
      </w:r>
      <w:r w:rsidR="00253C6F" w:rsidRPr="00253C6F">
        <w:rPr>
          <w:rFonts w:ascii="TimesNewRoman,Bold" w:eastAsia="Times New Roman" w:hAnsi="TimesNewRoman,Bold" w:cs="TimesNewRoman,Bold"/>
          <w:b/>
          <w:bCs/>
          <w:szCs w:val="24"/>
          <w:lang w:val="en-US" w:bidi="fa-IR"/>
        </w:rPr>
        <w:tab/>
      </w:r>
      <w:r w:rsidR="00253C6F" w:rsidRPr="001F0B05">
        <w:rPr>
          <w:rFonts w:ascii="TimesNewRoman,Bold" w:eastAsia="Times New Roman" w:hAnsi="TimesNewRoman,Bold" w:cs="TimesNewRoman,Bold"/>
          <w:b/>
          <w:bCs/>
          <w:szCs w:val="24"/>
          <w:u w:val="single"/>
          <w:lang w:val="en-US" w:bidi="fa-IR"/>
        </w:rPr>
        <w:t>Results of Operations</w:t>
      </w:r>
    </w:p>
    <w:p w:rsidR="00253C6F" w:rsidRPr="00253C6F" w:rsidRDefault="00253C6F" w:rsidP="00253C6F">
      <w:pPr>
        <w:autoSpaceDE w:val="0"/>
        <w:autoSpaceDN w:val="0"/>
        <w:adjustRightInd w:val="0"/>
        <w:spacing w:after="0" w:line="240" w:lineRule="auto"/>
        <w:rPr>
          <w:rFonts w:ascii="TimesNewRoman" w:eastAsia="Times New Roman" w:hAnsi="TimesNewRoman" w:cs="TimesNewRoman"/>
          <w:sz w:val="24"/>
          <w:szCs w:val="24"/>
          <w:lang w:val="en-US" w:bidi="fa-IR"/>
        </w:rPr>
      </w:pPr>
    </w:p>
    <w:p w:rsidR="001F0B05" w:rsidRDefault="00253C6F" w:rsidP="00120E36">
      <w:pPr>
        <w:autoSpaceDE w:val="0"/>
        <w:autoSpaceDN w:val="0"/>
        <w:adjustRightInd w:val="0"/>
        <w:spacing w:after="0" w:line="240" w:lineRule="auto"/>
        <w:ind w:left="720"/>
        <w:jc w:val="both"/>
        <w:rPr>
          <w:rFonts w:ascii="TimesNewRoman" w:eastAsia="Times New Roman" w:hAnsi="TimesNewRoman" w:cs="TimesNewRoman"/>
          <w:lang w:val="en-US" w:bidi="fa-IR"/>
        </w:rPr>
      </w:pPr>
      <w:r w:rsidRPr="00253C6F">
        <w:rPr>
          <w:rFonts w:ascii="TimesNewRoman" w:eastAsia="Times New Roman" w:hAnsi="TimesNewRoman" w:cs="TimesNewRoman"/>
          <w:lang w:val="en-US" w:bidi="fa-IR"/>
        </w:rPr>
        <w:t xml:space="preserve">The Company had net </w:t>
      </w:r>
      <w:r w:rsidR="00DE3C92">
        <w:rPr>
          <w:rFonts w:ascii="TimesNewRoman" w:eastAsia="Times New Roman" w:hAnsi="TimesNewRoman" w:cs="TimesNewRoman"/>
          <w:lang w:val="en-US" w:bidi="fa-IR"/>
        </w:rPr>
        <w:t>loss</w:t>
      </w:r>
      <w:r w:rsidRPr="00253C6F">
        <w:rPr>
          <w:rFonts w:ascii="TimesNewRoman" w:eastAsia="Times New Roman" w:hAnsi="TimesNewRoman" w:cs="TimesNewRoman"/>
          <w:lang w:val="en-US" w:bidi="fa-IR"/>
        </w:rPr>
        <w:t xml:space="preserve"> for the </w:t>
      </w:r>
      <w:r w:rsidR="001E1139">
        <w:rPr>
          <w:rFonts w:ascii="TimesNewRoman" w:eastAsia="Times New Roman" w:hAnsi="TimesNewRoman" w:cs="TimesNewRoman"/>
          <w:lang w:val="en-US" w:bidi="fa-IR"/>
        </w:rPr>
        <w:t>six</w:t>
      </w:r>
      <w:r w:rsidR="00E21118">
        <w:rPr>
          <w:rFonts w:ascii="TimesNewRoman" w:eastAsia="Times New Roman" w:hAnsi="TimesNewRoman" w:cs="TimesNewRoman"/>
          <w:lang w:val="en-US" w:bidi="fa-IR"/>
        </w:rPr>
        <w:t xml:space="preserve"> months</w:t>
      </w:r>
      <w:r w:rsidRPr="00253C6F">
        <w:rPr>
          <w:rFonts w:ascii="TimesNewRoman" w:eastAsia="Times New Roman" w:hAnsi="TimesNewRoman" w:cs="TimesNewRoman"/>
          <w:lang w:val="en-US" w:bidi="fa-IR"/>
        </w:rPr>
        <w:t xml:space="preserve"> </w:t>
      </w:r>
      <w:r w:rsidR="00ED753B">
        <w:rPr>
          <w:rFonts w:ascii="TimesNewRoman" w:eastAsia="Times New Roman" w:hAnsi="TimesNewRoman" w:cs="TimesNewRoman"/>
          <w:lang w:val="en-US" w:bidi="fa-IR"/>
        </w:rPr>
        <w:t xml:space="preserve">ended </w:t>
      </w:r>
      <w:r w:rsidR="001E1139">
        <w:rPr>
          <w:rFonts w:ascii="TimesNewRoman" w:eastAsia="Times New Roman" w:hAnsi="TimesNewRoman" w:cs="TimesNewRoman"/>
          <w:lang w:val="en-US" w:bidi="fa-IR"/>
        </w:rPr>
        <w:t>December 31</w:t>
      </w:r>
      <w:r w:rsidR="004F4DF6">
        <w:rPr>
          <w:rFonts w:ascii="TimesNewRoman" w:eastAsia="Times New Roman" w:hAnsi="TimesNewRoman" w:cs="TimesNewRoman"/>
          <w:lang w:val="en-US" w:bidi="fa-IR"/>
        </w:rPr>
        <w:t xml:space="preserve">, </w:t>
      </w:r>
      <w:r w:rsidR="001E1139">
        <w:rPr>
          <w:rFonts w:ascii="TimesNewRoman" w:eastAsia="Times New Roman" w:hAnsi="TimesNewRoman" w:cs="TimesNewRoman"/>
          <w:lang w:val="en-US" w:bidi="fa-IR"/>
        </w:rPr>
        <w:t>2014</w:t>
      </w:r>
      <w:r w:rsidR="00ED753B">
        <w:rPr>
          <w:rFonts w:ascii="TimesNewRoman" w:eastAsia="Times New Roman" w:hAnsi="TimesNewRoman" w:cs="TimesNewRoman"/>
          <w:lang w:val="en-US" w:bidi="fa-IR"/>
        </w:rPr>
        <w:t xml:space="preserve"> </w:t>
      </w:r>
      <w:r w:rsidRPr="00253C6F">
        <w:rPr>
          <w:rFonts w:ascii="TimesNewRoman" w:eastAsia="Times New Roman" w:hAnsi="TimesNewRoman" w:cs="TimesNewRoman"/>
          <w:lang w:val="en-US" w:bidi="fa-IR"/>
        </w:rPr>
        <w:t>of $</w:t>
      </w:r>
      <w:r w:rsidR="00DF684E">
        <w:rPr>
          <w:rFonts w:ascii="TimesNewRoman" w:eastAsia="Times New Roman" w:hAnsi="TimesNewRoman" w:cs="TimesNewRoman"/>
          <w:lang w:val="en-US" w:bidi="fa-IR"/>
        </w:rPr>
        <w:t>352,520</w:t>
      </w:r>
      <w:r w:rsidR="00036A6F">
        <w:rPr>
          <w:rFonts w:ascii="TimesNewRoman" w:eastAsia="Times New Roman" w:hAnsi="TimesNewRoman" w:cs="TimesNewRoman"/>
          <w:lang w:val="en-US" w:bidi="fa-IR"/>
        </w:rPr>
        <w:t xml:space="preserve"> </w:t>
      </w:r>
      <w:r w:rsidRPr="00253C6F">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Pr="00253C6F">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$780,291</w:t>
      </w:r>
      <w:r w:rsidRPr="00253C6F">
        <w:rPr>
          <w:rFonts w:ascii="TimesNewRoman" w:eastAsia="Times New Roman" w:hAnsi="TimesNewRoman" w:cs="TimesNewRoman"/>
          <w:lang w:val="en-US" w:bidi="fa-IR"/>
        </w:rPr>
        <w:t xml:space="preserve">). </w:t>
      </w:r>
      <w:r w:rsidR="001F0B05">
        <w:rPr>
          <w:rFonts w:ascii="TimesNewRoman" w:eastAsia="Times New Roman" w:hAnsi="TimesNewRoman" w:cs="TimesNewRoman"/>
          <w:lang w:val="en-US" w:bidi="fa-IR"/>
        </w:rPr>
        <w:t>The major differences in the reporting periods include:</w:t>
      </w:r>
    </w:p>
    <w:p w:rsidR="001F0B05" w:rsidRDefault="001F0B05" w:rsidP="00120E36">
      <w:pPr>
        <w:autoSpaceDE w:val="0"/>
        <w:autoSpaceDN w:val="0"/>
        <w:adjustRightInd w:val="0"/>
        <w:spacing w:after="0" w:line="240" w:lineRule="auto"/>
        <w:ind w:left="720"/>
        <w:jc w:val="both"/>
        <w:rPr>
          <w:rFonts w:ascii="TimesNewRoman" w:eastAsia="Times New Roman" w:hAnsi="TimesNewRoman" w:cs="TimesNewRoman"/>
          <w:lang w:val="en-US" w:bidi="fa-IR"/>
        </w:rPr>
      </w:pPr>
    </w:p>
    <w:p w:rsidR="00AE6651" w:rsidRDefault="00ED753B"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 xml:space="preserve">accounting and </w:t>
      </w:r>
      <w:r w:rsidR="00AE6651">
        <w:rPr>
          <w:rFonts w:ascii="TimesNewRoman" w:eastAsia="Times New Roman" w:hAnsi="TimesNewRoman" w:cs="TimesNewRoman"/>
          <w:lang w:val="en-US" w:bidi="fa-IR"/>
        </w:rPr>
        <w:t>audit fees of $</w:t>
      </w:r>
      <w:r w:rsidR="00663C49">
        <w:rPr>
          <w:rFonts w:ascii="TimesNewRoman" w:eastAsia="Times New Roman" w:hAnsi="TimesNewRoman" w:cs="TimesNewRoman"/>
          <w:lang w:val="en-US" w:bidi="fa-IR"/>
        </w:rPr>
        <w:t>15,000</w:t>
      </w:r>
      <w:r w:rsidR="001E1139">
        <w:rPr>
          <w:rFonts w:ascii="TimesNewRoman" w:eastAsia="Times New Roman" w:hAnsi="TimesNewRoman" w:cs="TimesNewRoman"/>
          <w:lang w:val="en-US" w:bidi="fa-IR"/>
        </w:rPr>
        <w:t xml:space="preserve"> </w:t>
      </w:r>
      <w:r w:rsidR="00AE6651">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00AE6651">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11,500</w:t>
      </w:r>
      <w:r w:rsidR="00AE6651">
        <w:rPr>
          <w:rFonts w:ascii="TimesNewRoman" w:eastAsia="Times New Roman" w:hAnsi="TimesNewRoman" w:cs="TimesNewRoman"/>
          <w:lang w:val="en-US" w:bidi="fa-IR"/>
        </w:rPr>
        <w:t xml:space="preserve">) related to professional fees attributed to </w:t>
      </w:r>
      <w:r>
        <w:rPr>
          <w:rFonts w:ascii="TimesNewRoman" w:eastAsia="Times New Roman" w:hAnsi="TimesNewRoman" w:cs="TimesNewRoman"/>
          <w:lang w:val="en-US" w:bidi="fa-IR"/>
        </w:rPr>
        <w:t xml:space="preserve">accounting and </w:t>
      </w:r>
      <w:r w:rsidR="00AE6651">
        <w:rPr>
          <w:rFonts w:ascii="TimesNewRoman" w:eastAsia="Times New Roman" w:hAnsi="TimesNewRoman" w:cs="TimesNewRoman"/>
          <w:lang w:val="en-US" w:bidi="fa-IR"/>
        </w:rPr>
        <w:t>annual audit requirements</w:t>
      </w:r>
      <w:r w:rsidR="00A4254B">
        <w:rPr>
          <w:rFonts w:ascii="TimesNewRoman" w:eastAsia="Times New Roman" w:hAnsi="TimesNewRoman" w:cs="TimesNewRoman"/>
          <w:lang w:val="en-US" w:bidi="fa-IR"/>
        </w:rPr>
        <w:t>;</w:t>
      </w:r>
    </w:p>
    <w:p w:rsidR="001F0B05" w:rsidRDefault="00253C6F"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1F0B05">
        <w:rPr>
          <w:rFonts w:ascii="TimesNewRoman" w:eastAsia="Times New Roman" w:hAnsi="TimesNewRoman" w:cs="TimesNewRoman"/>
          <w:lang w:val="en-US" w:bidi="fa-IR"/>
        </w:rPr>
        <w:t xml:space="preserve">consulting fees </w:t>
      </w:r>
      <w:r w:rsidR="00DE3C92">
        <w:rPr>
          <w:rFonts w:ascii="TimesNewRoman" w:eastAsia="Times New Roman" w:hAnsi="TimesNewRoman" w:cs="TimesNewRoman"/>
          <w:lang w:val="en-US" w:bidi="fa-IR"/>
        </w:rPr>
        <w:t xml:space="preserve">and management fees </w:t>
      </w:r>
      <w:r w:rsidRPr="001F0B05">
        <w:rPr>
          <w:rFonts w:ascii="TimesNewRoman" w:eastAsia="Times New Roman" w:hAnsi="TimesNewRoman" w:cs="TimesNewRoman"/>
          <w:lang w:val="en-US" w:bidi="fa-IR"/>
        </w:rPr>
        <w:t>of $</w:t>
      </w:r>
      <w:r w:rsidR="00663C49">
        <w:rPr>
          <w:rFonts w:ascii="TimesNewRoman" w:eastAsia="Times New Roman" w:hAnsi="TimesNewRoman" w:cs="TimesNewRoman"/>
          <w:lang w:val="en-US" w:bidi="fa-IR"/>
        </w:rPr>
        <w:t>116,173</w:t>
      </w:r>
      <w:r w:rsidR="001E1139" w:rsidRPr="001F0B05">
        <w:rPr>
          <w:rFonts w:ascii="TimesNewRoman" w:eastAsia="Times New Roman" w:hAnsi="TimesNewRoman" w:cs="TimesNewRoman"/>
          <w:lang w:val="en-US" w:bidi="fa-IR"/>
        </w:rPr>
        <w:t xml:space="preserve"> </w:t>
      </w:r>
      <w:r w:rsidRPr="001F0B05">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Pr="001F0B05">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120,853</w:t>
      </w:r>
      <w:r w:rsidR="001F0B05">
        <w:rPr>
          <w:rFonts w:ascii="TimesNewRoman" w:eastAsia="Times New Roman" w:hAnsi="TimesNewRoman" w:cs="TimesNewRoman"/>
          <w:lang w:val="en-US" w:bidi="fa-IR"/>
        </w:rPr>
        <w:t xml:space="preserve">) </w:t>
      </w:r>
      <w:r w:rsidR="000F04CB">
        <w:rPr>
          <w:rFonts w:ascii="TimesNewRoman" w:eastAsia="Times New Roman" w:hAnsi="TimesNewRoman" w:cs="TimesNewRoman"/>
          <w:lang w:val="en-US" w:bidi="fa-IR"/>
        </w:rPr>
        <w:t>related to fees paid to the Company’s CEO, CFO and board of directors, as well as individuals providing business consulting services</w:t>
      </w:r>
      <w:r w:rsidR="001F0B05">
        <w:rPr>
          <w:rFonts w:ascii="TimesNewRoman" w:eastAsia="Times New Roman" w:hAnsi="TimesNewRoman" w:cs="TimesNewRoman"/>
          <w:lang w:val="en-US" w:bidi="fa-IR"/>
        </w:rPr>
        <w:t>;</w:t>
      </w:r>
      <w:r w:rsidRPr="001F0B05">
        <w:rPr>
          <w:rFonts w:ascii="TimesNewRoman" w:eastAsia="Times New Roman" w:hAnsi="TimesNewRoman" w:cs="TimesNewRoman"/>
          <w:lang w:val="en-US" w:bidi="fa-IR"/>
        </w:rPr>
        <w:t xml:space="preserve"> </w:t>
      </w:r>
    </w:p>
    <w:p w:rsidR="00A97740" w:rsidRDefault="00E21118"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general office and miscellaneous expenses</w:t>
      </w:r>
      <w:r w:rsidR="005E4651">
        <w:rPr>
          <w:rFonts w:ascii="TimesNewRoman" w:eastAsia="Times New Roman" w:hAnsi="TimesNewRoman" w:cs="TimesNewRoman"/>
          <w:lang w:val="en-US" w:bidi="fa-IR"/>
        </w:rPr>
        <w:t xml:space="preserve"> of</w:t>
      </w:r>
      <w:r w:rsidR="00253C6F" w:rsidRPr="001F0B05">
        <w:rPr>
          <w:rFonts w:ascii="TimesNewRoman" w:eastAsia="Times New Roman" w:hAnsi="TimesNewRoman" w:cs="TimesNewRoman"/>
          <w:lang w:val="en-US" w:bidi="fa-IR"/>
        </w:rPr>
        <w:t xml:space="preserve"> $</w:t>
      </w:r>
      <w:r w:rsidR="00663C49">
        <w:rPr>
          <w:rFonts w:ascii="TimesNewRoman" w:eastAsia="Times New Roman" w:hAnsi="TimesNewRoman" w:cs="TimesNewRoman"/>
          <w:lang w:val="en-US" w:bidi="fa-IR"/>
        </w:rPr>
        <w:t>4,090</w:t>
      </w:r>
      <w:r w:rsidR="001E1139" w:rsidRPr="001F0B05">
        <w:rPr>
          <w:rFonts w:ascii="TimesNewRoman" w:eastAsia="Times New Roman" w:hAnsi="TimesNewRoman" w:cs="TimesNewRoman"/>
          <w:lang w:val="en-US" w:bidi="fa-IR"/>
        </w:rPr>
        <w:t xml:space="preserve"> </w:t>
      </w:r>
      <w:r w:rsidR="00253C6F" w:rsidRPr="001F0B05">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00253C6F" w:rsidRPr="001F0B05">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13,143</w:t>
      </w:r>
      <w:r w:rsidR="00253C6F" w:rsidRPr="001F0B05">
        <w:rPr>
          <w:rFonts w:ascii="TimesNewRoman" w:eastAsia="Times New Roman" w:hAnsi="TimesNewRoman" w:cs="TimesNewRoman"/>
          <w:lang w:val="en-US" w:bidi="fa-IR"/>
        </w:rPr>
        <w:t>)</w:t>
      </w:r>
      <w:r w:rsidR="00A97740">
        <w:rPr>
          <w:rFonts w:ascii="TimesNewRoman" w:eastAsia="Times New Roman" w:hAnsi="TimesNewRoman" w:cs="TimesNewRoman"/>
          <w:lang w:val="en-US" w:bidi="fa-IR"/>
        </w:rPr>
        <w:t xml:space="preserve"> related to </w:t>
      </w:r>
      <w:r>
        <w:rPr>
          <w:rFonts w:ascii="TimesNewRoman" w:eastAsia="Times New Roman" w:hAnsi="TimesNewRoman" w:cs="TimesNewRoman"/>
          <w:lang w:val="en-US" w:bidi="fa-IR"/>
        </w:rPr>
        <w:t xml:space="preserve">office supplies and </w:t>
      </w:r>
      <w:r w:rsidR="00EC3ED6">
        <w:rPr>
          <w:rFonts w:ascii="TimesNewRoman" w:eastAsia="Times New Roman" w:hAnsi="TimesNewRoman" w:cs="TimesNewRoman"/>
          <w:lang w:val="en-US" w:bidi="fa-IR"/>
        </w:rPr>
        <w:t>incidental expenditures</w:t>
      </w:r>
      <w:r>
        <w:rPr>
          <w:rFonts w:ascii="TimesNewRoman" w:eastAsia="Times New Roman" w:hAnsi="TimesNewRoman" w:cs="TimesNewRoman"/>
          <w:lang w:val="en-US" w:bidi="fa-IR"/>
        </w:rPr>
        <w:t xml:space="preserve"> </w:t>
      </w:r>
      <w:r w:rsidR="00EC3ED6">
        <w:rPr>
          <w:rFonts w:ascii="TimesNewRoman" w:eastAsia="Times New Roman" w:hAnsi="TimesNewRoman" w:cs="TimesNewRoman"/>
          <w:lang w:val="en-US" w:bidi="fa-IR"/>
        </w:rPr>
        <w:t>for</w:t>
      </w:r>
      <w:r>
        <w:rPr>
          <w:rFonts w:ascii="TimesNewRoman" w:eastAsia="Times New Roman" w:hAnsi="TimesNewRoman" w:cs="TimesNewRoman"/>
          <w:lang w:val="en-US" w:bidi="fa-IR"/>
        </w:rPr>
        <w:t xml:space="preserve"> the Company’s Vancouver-based office</w:t>
      </w:r>
      <w:r w:rsidR="005E4651">
        <w:rPr>
          <w:rFonts w:ascii="TimesNewRoman" w:eastAsia="Times New Roman" w:hAnsi="TimesNewRoman" w:cs="TimesNewRoman"/>
          <w:lang w:val="en-US" w:bidi="fa-IR"/>
        </w:rPr>
        <w:t xml:space="preserve">; </w:t>
      </w:r>
      <w:r w:rsidR="00A97740">
        <w:rPr>
          <w:rFonts w:ascii="TimesNewRoman" w:eastAsia="Times New Roman" w:hAnsi="TimesNewRoman" w:cs="TimesNewRoman"/>
          <w:lang w:val="en-US" w:bidi="fa-IR"/>
        </w:rPr>
        <w:t xml:space="preserve"> </w:t>
      </w:r>
    </w:p>
    <w:p w:rsidR="00E21118" w:rsidRPr="00E21118" w:rsidRDefault="00E21118" w:rsidP="00E21118">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investor relations and shareholder communications of</w:t>
      </w:r>
      <w:r w:rsidRPr="001F0B05">
        <w:rPr>
          <w:rFonts w:ascii="TimesNewRoman" w:eastAsia="Times New Roman" w:hAnsi="TimesNewRoman" w:cs="TimesNewRoman"/>
          <w:lang w:val="en-US" w:bidi="fa-IR"/>
        </w:rPr>
        <w:t xml:space="preserve"> $</w:t>
      </w:r>
      <w:r w:rsidR="00663C49">
        <w:rPr>
          <w:rFonts w:ascii="TimesNewRoman" w:eastAsia="Times New Roman" w:hAnsi="TimesNewRoman" w:cs="TimesNewRoman"/>
          <w:lang w:val="en-US" w:bidi="fa-IR"/>
        </w:rPr>
        <w:t>14,789</w:t>
      </w:r>
      <w:r w:rsidRPr="001F0B05">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w:t>
      </w:r>
      <w:r w:rsidRPr="001F0B05">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96,564</w:t>
      </w:r>
      <w:r w:rsidRPr="001F0B05">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related to fees paid to investor relations personnel, costs associated with public relations and advertising campaigns;  </w:t>
      </w:r>
    </w:p>
    <w:p w:rsid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1F0B05">
        <w:rPr>
          <w:rFonts w:ascii="TimesNewRoman" w:eastAsia="Times New Roman" w:hAnsi="TimesNewRoman" w:cs="TimesNewRoman"/>
          <w:lang w:val="en-US" w:bidi="fa-IR"/>
        </w:rPr>
        <w:t>legal fees of $</w:t>
      </w:r>
      <w:r w:rsidR="00663C49">
        <w:rPr>
          <w:rFonts w:ascii="TimesNewRoman" w:eastAsia="Times New Roman" w:hAnsi="TimesNewRoman" w:cs="TimesNewRoman"/>
          <w:lang w:val="en-US" w:bidi="fa-IR"/>
        </w:rPr>
        <w:t>6,196</w:t>
      </w:r>
      <w:r w:rsidR="001E1139" w:rsidRPr="001F0B05">
        <w:rPr>
          <w:rFonts w:ascii="TimesNewRoman" w:eastAsia="Times New Roman" w:hAnsi="TimesNewRoman" w:cs="TimesNewRoman"/>
          <w:lang w:val="en-US" w:bidi="fa-IR"/>
        </w:rPr>
        <w:t xml:space="preserve"> </w:t>
      </w:r>
      <w:r w:rsidRPr="001F0B05">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Pr="001F0B05">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22,905</w:t>
      </w:r>
      <w:r w:rsidRPr="001F0B05">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related to general corporate matters;  </w:t>
      </w:r>
    </w:p>
    <w:p w:rsid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rent of $</w:t>
      </w:r>
      <w:r w:rsidR="00663C49">
        <w:rPr>
          <w:rFonts w:ascii="TimesNewRoman" w:eastAsia="Times New Roman" w:hAnsi="TimesNewRoman" w:cs="TimesNewRoman"/>
          <w:lang w:val="en-US" w:bidi="fa-IR"/>
        </w:rPr>
        <w:t>53,816</w:t>
      </w:r>
      <w:r w:rsidR="001E1139">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Pr>
          <w:rFonts w:ascii="TimesNewRoman" w:eastAsia="Times New Roman" w:hAnsi="TimesNewRoman" w:cs="TimesNewRoman"/>
          <w:lang w:val="en-US" w:bidi="fa-IR"/>
        </w:rPr>
        <w:t xml:space="preserve"> - $</w:t>
      </w:r>
      <w:r w:rsidR="001E1139">
        <w:rPr>
          <w:rFonts w:ascii="TimesNewRoman" w:eastAsia="Times New Roman" w:hAnsi="TimesNewRoman" w:cs="TimesNewRoman"/>
          <w:lang w:val="en-US" w:bidi="fa-IR"/>
        </w:rPr>
        <w:t>109,265</w:t>
      </w:r>
      <w:r>
        <w:rPr>
          <w:rFonts w:ascii="TimesNewRoman" w:eastAsia="Times New Roman" w:hAnsi="TimesNewRoman" w:cs="TimesNewRoman"/>
          <w:lang w:val="en-US" w:bidi="fa-IR"/>
        </w:rPr>
        <w:t xml:space="preserve">) as the Company </w:t>
      </w:r>
      <w:r w:rsidR="00A4254B">
        <w:rPr>
          <w:rFonts w:ascii="TimesNewRoman" w:eastAsia="Times New Roman" w:hAnsi="TimesNewRoman" w:cs="TimesNewRoman"/>
          <w:lang w:val="en-US" w:bidi="fa-IR"/>
        </w:rPr>
        <w:t>began renting</w:t>
      </w:r>
      <w:r w:rsidR="00E21118">
        <w:rPr>
          <w:rFonts w:ascii="TimesNewRoman" w:eastAsia="Times New Roman" w:hAnsi="TimesNewRoman" w:cs="TimesNewRoman"/>
          <w:lang w:val="en-US" w:bidi="fa-IR"/>
        </w:rPr>
        <w:t xml:space="preserve"> office premises, as well as </w:t>
      </w:r>
      <w:r>
        <w:rPr>
          <w:rFonts w:ascii="TimesNewRoman" w:eastAsia="Times New Roman" w:hAnsi="TimesNewRoman" w:cs="TimesNewRoman"/>
          <w:lang w:val="en-US" w:bidi="fa-IR"/>
        </w:rPr>
        <w:t xml:space="preserve">leasing a </w:t>
      </w:r>
      <w:r w:rsidR="007828F1">
        <w:rPr>
          <w:rFonts w:ascii="TimesNewRoman" w:eastAsia="Times New Roman" w:hAnsi="TimesNewRoman" w:cs="TimesNewRoman"/>
          <w:lang w:val="en-US" w:bidi="fa-IR"/>
        </w:rPr>
        <w:t>Washington State manufacturing site</w:t>
      </w:r>
      <w:r>
        <w:rPr>
          <w:rFonts w:ascii="TimesNewRoman" w:eastAsia="Times New Roman" w:hAnsi="TimesNewRoman" w:cs="TimesNewRoman"/>
          <w:lang w:val="en-US" w:bidi="fa-IR"/>
        </w:rPr>
        <w:t>;</w:t>
      </w:r>
    </w:p>
    <w:p w:rsidR="005E4651" w:rsidRDefault="005E4651"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share-based payments expense of $</w:t>
      </w:r>
      <w:r w:rsidR="00DF684E">
        <w:rPr>
          <w:rFonts w:ascii="TimesNewRoman" w:eastAsia="Times New Roman" w:hAnsi="TimesNewRoman" w:cs="TimesNewRoman"/>
          <w:lang w:val="en-US" w:bidi="fa-IR"/>
        </w:rPr>
        <w:t>133,365</w:t>
      </w:r>
      <w:r>
        <w:rPr>
          <w:rFonts w:ascii="TimesNewRoman" w:eastAsia="Times New Roman" w:hAnsi="TimesNewRoman" w:cs="TimesNewRoman"/>
          <w:lang w:val="en-US" w:bidi="fa-IR"/>
        </w:rPr>
        <w:t xml:space="preserve"> (</w:t>
      </w:r>
      <w:r w:rsidR="004F4DF6">
        <w:rPr>
          <w:rFonts w:ascii="TimesNewRoman" w:eastAsia="Times New Roman" w:hAnsi="TimesNewRoman" w:cs="TimesNewRoman"/>
          <w:lang w:val="en-US" w:bidi="fa-IR"/>
        </w:rPr>
        <w:t xml:space="preserve">2014 - </w:t>
      </w:r>
      <w:r>
        <w:rPr>
          <w:rFonts w:ascii="TimesNewRoman" w:eastAsia="Times New Roman" w:hAnsi="TimesNewRoman" w:cs="TimesNewRoman"/>
          <w:lang w:val="en-US" w:bidi="fa-IR"/>
        </w:rPr>
        <w:t>$</w:t>
      </w:r>
      <w:r w:rsidR="00E21118">
        <w:rPr>
          <w:rFonts w:ascii="TimesNewRoman" w:eastAsia="Times New Roman" w:hAnsi="TimesNewRoman" w:cs="TimesNewRoman"/>
          <w:lang w:val="en-US" w:bidi="fa-IR"/>
        </w:rPr>
        <w:t>390,293</w:t>
      </w:r>
      <w:r>
        <w:rPr>
          <w:rFonts w:ascii="TimesNewRoman" w:eastAsia="Times New Roman" w:hAnsi="TimesNewRoman" w:cs="TimesNewRoman"/>
          <w:lang w:val="en-US" w:bidi="fa-IR"/>
        </w:rPr>
        <w:t xml:space="preserve">) related to the fair value expense of </w:t>
      </w:r>
      <w:r w:rsidR="00E21118">
        <w:rPr>
          <w:rFonts w:ascii="TimesNewRoman" w:eastAsia="Times New Roman" w:hAnsi="TimesNewRoman" w:cs="TimesNewRoman"/>
          <w:lang w:val="en-US" w:bidi="fa-IR"/>
        </w:rPr>
        <w:t xml:space="preserve">the </w:t>
      </w:r>
      <w:r w:rsidR="007828F1">
        <w:rPr>
          <w:rFonts w:ascii="TimesNewRoman" w:eastAsia="Times New Roman" w:hAnsi="TimesNewRoman" w:cs="TimesNewRoman"/>
          <w:lang w:val="en-US" w:bidi="fa-IR"/>
        </w:rPr>
        <w:t>750,000</w:t>
      </w:r>
      <w:r>
        <w:rPr>
          <w:rFonts w:ascii="TimesNewRoman" w:eastAsia="Times New Roman" w:hAnsi="TimesNewRoman" w:cs="TimesNewRoman"/>
          <w:lang w:val="en-US" w:bidi="fa-IR"/>
        </w:rPr>
        <w:t xml:space="preserve"> (</w:t>
      </w:r>
      <w:r w:rsidR="004F4DF6">
        <w:rPr>
          <w:rFonts w:ascii="TimesNewRoman" w:eastAsia="Times New Roman" w:hAnsi="TimesNewRoman" w:cs="TimesNewRoman"/>
          <w:lang w:val="en-US" w:bidi="fa-IR"/>
        </w:rPr>
        <w:t>2014</w:t>
      </w:r>
      <w:r>
        <w:rPr>
          <w:rFonts w:ascii="TimesNewRoman" w:eastAsia="Times New Roman" w:hAnsi="TimesNewRoman" w:cs="TimesNewRoman"/>
          <w:lang w:val="en-US" w:bidi="fa-IR"/>
        </w:rPr>
        <w:t xml:space="preserve"> – </w:t>
      </w:r>
      <w:r w:rsidR="00E21118">
        <w:rPr>
          <w:rFonts w:ascii="TimesNewRoman" w:eastAsia="Times New Roman" w:hAnsi="TimesNewRoman" w:cs="TimesNewRoman"/>
          <w:lang w:val="en-US" w:bidi="fa-IR"/>
        </w:rPr>
        <w:t>2,950,000</w:t>
      </w:r>
      <w:r>
        <w:rPr>
          <w:rFonts w:ascii="TimesNewRoman" w:eastAsia="Times New Roman" w:hAnsi="TimesNewRoman" w:cs="TimesNewRoman"/>
          <w:lang w:val="en-US" w:bidi="fa-IR"/>
        </w:rPr>
        <w:t>) incentive stock options granted and vested;</w:t>
      </w:r>
    </w:p>
    <w:p w:rsidR="00663C49" w:rsidRPr="005E4651" w:rsidRDefault="00663C49"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travel and accommodation of $27,791 (2014 - $3,117) related to travel</w:t>
      </w:r>
      <w:r w:rsidR="007828F1">
        <w:rPr>
          <w:rFonts w:ascii="TimesNewRoman" w:eastAsia="Times New Roman" w:hAnsi="TimesNewRoman" w:cs="TimesNewRoman"/>
          <w:lang w:val="en-US" w:bidi="fa-IR"/>
        </w:rPr>
        <w:t>, mainly to Washington State</w:t>
      </w:r>
      <w:r>
        <w:rPr>
          <w:rFonts w:ascii="TimesNewRoman" w:eastAsia="Times New Roman" w:hAnsi="TimesNewRoman" w:cs="TimesNewRoman"/>
          <w:lang w:val="en-US" w:bidi="fa-IR"/>
        </w:rPr>
        <w:t>;</w:t>
      </w:r>
    </w:p>
    <w:p w:rsidR="007B6172" w:rsidRDefault="007B6172"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A97740">
        <w:rPr>
          <w:rFonts w:ascii="TimesNewRoman" w:eastAsia="Times New Roman" w:hAnsi="TimesNewRoman" w:cs="TimesNewRoman"/>
          <w:lang w:val="en-US" w:bidi="fa-IR"/>
        </w:rPr>
        <w:t>website design $</w:t>
      </w:r>
      <w:r w:rsidR="00663C49">
        <w:rPr>
          <w:rFonts w:ascii="TimesNewRoman" w:eastAsia="Times New Roman" w:hAnsi="TimesNewRoman" w:cs="TimesNewRoman"/>
          <w:lang w:val="en-US" w:bidi="fa-IR"/>
        </w:rPr>
        <w:t>2,101</w:t>
      </w:r>
      <w:r w:rsidR="001E1139" w:rsidRPr="00A97740">
        <w:rPr>
          <w:rFonts w:ascii="TimesNewRoman" w:eastAsia="Times New Roman" w:hAnsi="TimesNewRoman" w:cs="TimesNewRoman"/>
          <w:lang w:val="en-US" w:bidi="fa-IR"/>
        </w:rPr>
        <w:t xml:space="preserve"> </w:t>
      </w:r>
      <w:r w:rsidRPr="00A97740">
        <w:rPr>
          <w:rFonts w:ascii="TimesNewRoman" w:eastAsia="Times New Roman" w:hAnsi="TimesNewRoman" w:cs="TimesNewRoman"/>
          <w:lang w:val="en-US" w:bidi="fa-IR"/>
        </w:rPr>
        <w:t>(</w:t>
      </w:r>
      <w:r w:rsidR="004F4DF6">
        <w:rPr>
          <w:rFonts w:ascii="TimesNewRoman" w:eastAsia="Times New Roman" w:hAnsi="TimesNewRoman" w:cs="TimesNewRoman"/>
          <w:lang w:val="en-US" w:bidi="fa-IR"/>
        </w:rPr>
        <w:t>2014</w:t>
      </w:r>
      <w:r w:rsidRPr="00A97740">
        <w:rPr>
          <w:rFonts w:ascii="TimesNewRoman" w:eastAsia="Times New Roman" w:hAnsi="TimesNewRoman" w:cs="TimesNewRoman"/>
          <w:lang w:val="en-US" w:bidi="fa-IR"/>
        </w:rPr>
        <w:t>-$</w:t>
      </w:r>
      <w:r w:rsidR="001E1139">
        <w:rPr>
          <w:rFonts w:ascii="TimesNewRoman" w:eastAsia="Times New Roman" w:hAnsi="TimesNewRoman" w:cs="TimesNewRoman"/>
          <w:lang w:val="en-US" w:bidi="fa-IR"/>
        </w:rPr>
        <w:t>8,499</w:t>
      </w:r>
      <w:r w:rsidRPr="00A97740">
        <w:rPr>
          <w:rFonts w:ascii="TimesNewRoman" w:eastAsia="Times New Roman" w:hAnsi="TimesNewRoman" w:cs="TimesNewRoman"/>
          <w:lang w:val="en-US" w:bidi="fa-IR"/>
        </w:rPr>
        <w:t>)</w:t>
      </w:r>
      <w:r w:rsidR="00A97740">
        <w:rPr>
          <w:rFonts w:ascii="TimesNewRoman" w:eastAsia="Times New Roman" w:hAnsi="TimesNewRoman" w:cs="TimesNewRoman"/>
          <w:lang w:val="en-US" w:bidi="fa-IR"/>
        </w:rPr>
        <w:t xml:space="preserve"> as the Company </w:t>
      </w:r>
      <w:r w:rsidR="00AE6651">
        <w:rPr>
          <w:rFonts w:ascii="TimesNewRoman" w:eastAsia="Times New Roman" w:hAnsi="TimesNewRoman" w:cs="TimesNewRoman"/>
          <w:lang w:val="en-US" w:bidi="fa-IR"/>
        </w:rPr>
        <w:t>worked toward creating</w:t>
      </w:r>
      <w:r w:rsidR="00A97740">
        <w:rPr>
          <w:rFonts w:ascii="TimesNewRoman" w:eastAsia="Times New Roman" w:hAnsi="TimesNewRoman" w:cs="TimesNewRoman"/>
          <w:lang w:val="en-US" w:bidi="fa-IR"/>
        </w:rPr>
        <w:t xml:space="preserve"> a website for Wildflower during the </w:t>
      </w:r>
      <w:r w:rsidR="00AE6651">
        <w:rPr>
          <w:rFonts w:ascii="TimesNewRoman" w:eastAsia="Times New Roman" w:hAnsi="TimesNewRoman" w:cs="TimesNewRoman"/>
          <w:lang w:val="en-US" w:bidi="fa-IR"/>
        </w:rPr>
        <w:t>period</w:t>
      </w:r>
      <w:r w:rsidR="004F4DF6">
        <w:rPr>
          <w:rFonts w:ascii="TimesNewRoman" w:eastAsia="Times New Roman" w:hAnsi="TimesNewRoman" w:cs="TimesNewRoman"/>
          <w:lang w:val="en-US" w:bidi="fa-IR"/>
        </w:rPr>
        <w:t xml:space="preserve">; </w:t>
      </w:r>
    </w:p>
    <w:p w:rsidR="004F4DF6" w:rsidRDefault="00C3008A" w:rsidP="00120E36">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 xml:space="preserve">Realized </w:t>
      </w:r>
      <w:r w:rsidR="007828F1">
        <w:rPr>
          <w:rFonts w:ascii="TimesNewRoman" w:eastAsia="Times New Roman" w:hAnsi="TimesNewRoman" w:cs="TimesNewRoman"/>
          <w:lang w:val="en-US" w:bidi="fa-IR"/>
        </w:rPr>
        <w:t>gain</w:t>
      </w:r>
      <w:r>
        <w:rPr>
          <w:rFonts w:ascii="TimesNewRoman" w:eastAsia="Times New Roman" w:hAnsi="TimesNewRoman" w:cs="TimesNewRoman"/>
          <w:lang w:val="en-US" w:bidi="fa-IR"/>
        </w:rPr>
        <w:t xml:space="preserve"> on sale of marketable securities of $</w:t>
      </w:r>
      <w:r w:rsidR="00663C49">
        <w:rPr>
          <w:rFonts w:ascii="TimesNewRoman" w:eastAsia="Times New Roman" w:hAnsi="TimesNewRoman" w:cs="TimesNewRoman"/>
          <w:lang w:val="en-US" w:bidi="fa-IR"/>
        </w:rPr>
        <w:t>Nil</w:t>
      </w:r>
      <w:r>
        <w:rPr>
          <w:rFonts w:ascii="TimesNewRoman" w:eastAsia="Times New Roman" w:hAnsi="TimesNewRoman" w:cs="TimesNewRoman"/>
          <w:lang w:val="en-US" w:bidi="fa-IR"/>
        </w:rPr>
        <w:t xml:space="preserve"> (2014 </w:t>
      </w:r>
      <w:r w:rsidR="001E1139">
        <w:rPr>
          <w:rFonts w:ascii="TimesNewRoman" w:eastAsia="Times New Roman" w:hAnsi="TimesNewRoman" w:cs="TimesNewRoman"/>
          <w:lang w:val="en-US" w:bidi="fa-IR"/>
        </w:rPr>
        <w:t>–$159</w:t>
      </w:r>
      <w:r>
        <w:rPr>
          <w:rFonts w:ascii="TimesNewRoman" w:eastAsia="Times New Roman" w:hAnsi="TimesNewRoman" w:cs="TimesNewRoman"/>
          <w:lang w:val="en-US" w:bidi="fa-IR"/>
        </w:rPr>
        <w:t>)</w:t>
      </w:r>
      <w:r w:rsidR="00A4254B">
        <w:rPr>
          <w:rFonts w:ascii="TimesNewRoman" w:eastAsia="Times New Roman" w:hAnsi="TimesNewRoman" w:cs="TimesNewRoman"/>
          <w:lang w:val="en-US" w:bidi="fa-IR"/>
        </w:rPr>
        <w:t>;</w:t>
      </w:r>
      <w:r w:rsidR="00E21118">
        <w:rPr>
          <w:rFonts w:ascii="TimesNewRoman" w:eastAsia="Times New Roman" w:hAnsi="TimesNewRoman" w:cs="TimesNewRoman"/>
          <w:lang w:val="en-US" w:bidi="fa-IR"/>
        </w:rPr>
        <w:t xml:space="preserve"> and</w:t>
      </w:r>
    </w:p>
    <w:p w:rsidR="00A4254B" w:rsidRPr="00E21118" w:rsidRDefault="00A4254B" w:rsidP="00E21118">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Rent received of $</w:t>
      </w:r>
      <w:r w:rsidR="00663C49">
        <w:rPr>
          <w:rFonts w:ascii="TimesNewRoman" w:eastAsia="Times New Roman" w:hAnsi="TimesNewRoman" w:cs="TimesNewRoman"/>
          <w:lang w:val="en-US" w:bidi="fa-IR"/>
        </w:rPr>
        <w:t>37,100</w:t>
      </w:r>
      <w:r w:rsidR="001E1139">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(2014 - $</w:t>
      </w:r>
      <w:r w:rsidR="001E1139">
        <w:rPr>
          <w:rFonts w:ascii="TimesNewRoman" w:eastAsia="Times New Roman" w:hAnsi="TimesNewRoman" w:cs="TimesNewRoman"/>
          <w:lang w:val="en-US" w:bidi="fa-IR"/>
        </w:rPr>
        <w:t>9,600</w:t>
      </w:r>
      <w:r>
        <w:rPr>
          <w:rFonts w:ascii="TimesNewRoman" w:eastAsia="Times New Roman" w:hAnsi="TimesNewRoman" w:cs="TimesNewRoman"/>
          <w:lang w:val="en-US" w:bidi="fa-IR"/>
        </w:rPr>
        <w:t>) from tenants subletting office space from the Company on a month-by-month basis</w:t>
      </w:r>
      <w:r w:rsidR="00E21118">
        <w:rPr>
          <w:rFonts w:ascii="TimesNewRoman" w:eastAsia="Times New Roman" w:hAnsi="TimesNewRoman" w:cs="TimesNewRoman"/>
          <w:lang w:val="en-US" w:bidi="fa-IR"/>
        </w:rPr>
        <w:t>.</w:t>
      </w:r>
    </w:p>
    <w:p w:rsidR="00ED753B" w:rsidRDefault="00ED753B" w:rsidP="00ED753B">
      <w:pPr>
        <w:autoSpaceDE w:val="0"/>
        <w:autoSpaceDN w:val="0"/>
        <w:adjustRightInd w:val="0"/>
        <w:spacing w:after="0" w:line="240" w:lineRule="auto"/>
        <w:jc w:val="both"/>
        <w:rPr>
          <w:rFonts w:ascii="TimesNewRoman" w:eastAsia="Times New Roman" w:hAnsi="TimesNewRoman" w:cs="TimesNewRoman"/>
          <w:sz w:val="10"/>
          <w:szCs w:val="10"/>
          <w:lang w:val="en-US" w:bidi="fa-IR"/>
        </w:rPr>
      </w:pPr>
    </w:p>
    <w:p w:rsidR="00E21118" w:rsidRDefault="00E21118" w:rsidP="00ED753B">
      <w:pPr>
        <w:autoSpaceDE w:val="0"/>
        <w:autoSpaceDN w:val="0"/>
        <w:adjustRightInd w:val="0"/>
        <w:spacing w:after="0" w:line="240" w:lineRule="auto"/>
        <w:jc w:val="both"/>
        <w:rPr>
          <w:rFonts w:ascii="TimesNewRoman" w:eastAsia="Times New Roman" w:hAnsi="TimesNewRoman" w:cs="TimesNewRoman"/>
          <w:sz w:val="10"/>
          <w:szCs w:val="10"/>
          <w:lang w:val="en-US" w:bidi="fa-IR"/>
        </w:rPr>
      </w:pPr>
    </w:p>
    <w:p w:rsidR="001E1139" w:rsidRDefault="001E1139" w:rsidP="001E1139">
      <w:pPr>
        <w:autoSpaceDE w:val="0"/>
        <w:autoSpaceDN w:val="0"/>
        <w:adjustRightInd w:val="0"/>
        <w:spacing w:after="0" w:line="240" w:lineRule="auto"/>
        <w:ind w:left="720"/>
        <w:jc w:val="both"/>
        <w:rPr>
          <w:rFonts w:ascii="TimesNewRoman" w:eastAsia="Times New Roman" w:hAnsi="TimesNewRoman" w:cs="TimesNewRoman"/>
          <w:lang w:val="en-US" w:bidi="fa-IR"/>
        </w:rPr>
      </w:pPr>
      <w:r w:rsidRPr="00253C6F">
        <w:rPr>
          <w:rFonts w:ascii="TimesNewRoman" w:eastAsia="Times New Roman" w:hAnsi="TimesNewRoman" w:cs="TimesNewRoman"/>
          <w:lang w:val="en-US" w:bidi="fa-IR"/>
        </w:rPr>
        <w:t xml:space="preserve">The Company had net </w:t>
      </w:r>
      <w:r>
        <w:rPr>
          <w:rFonts w:ascii="TimesNewRoman" w:eastAsia="Times New Roman" w:hAnsi="TimesNewRoman" w:cs="TimesNewRoman"/>
          <w:lang w:val="en-US" w:bidi="fa-IR"/>
        </w:rPr>
        <w:t>loss</w:t>
      </w:r>
      <w:r w:rsidRPr="00253C6F">
        <w:rPr>
          <w:rFonts w:ascii="TimesNewRoman" w:eastAsia="Times New Roman" w:hAnsi="TimesNewRoman" w:cs="TimesNewRoman"/>
          <w:lang w:val="en-US" w:bidi="fa-IR"/>
        </w:rPr>
        <w:t xml:space="preserve"> for the </w:t>
      </w:r>
      <w:r>
        <w:rPr>
          <w:rFonts w:ascii="TimesNewRoman" w:eastAsia="Times New Roman" w:hAnsi="TimesNewRoman" w:cs="TimesNewRoman"/>
          <w:lang w:val="en-US" w:bidi="fa-IR"/>
        </w:rPr>
        <w:t>three month period</w:t>
      </w:r>
      <w:r w:rsidRPr="00253C6F">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 xml:space="preserve">ended December 31, 2015 </w:t>
      </w:r>
      <w:r w:rsidRPr="00253C6F">
        <w:rPr>
          <w:rFonts w:ascii="TimesNewRoman" w:eastAsia="Times New Roman" w:hAnsi="TimesNewRoman" w:cs="TimesNewRoman"/>
          <w:lang w:val="en-US" w:bidi="fa-IR"/>
        </w:rPr>
        <w:t>of $</w:t>
      </w:r>
      <w:r w:rsidR="00DF684E">
        <w:rPr>
          <w:rFonts w:ascii="TimesNewRoman" w:eastAsia="Times New Roman" w:hAnsi="TimesNewRoman" w:cs="TimesNewRoman"/>
          <w:lang w:val="en-US" w:bidi="fa-IR"/>
        </w:rPr>
        <w:t>267,271</w:t>
      </w:r>
      <w:r>
        <w:rPr>
          <w:rFonts w:ascii="TimesNewRoman" w:eastAsia="Times New Roman" w:hAnsi="TimesNewRoman" w:cs="TimesNewRoman"/>
          <w:lang w:val="en-US" w:bidi="fa-IR"/>
        </w:rPr>
        <w:t xml:space="preserve"> </w:t>
      </w:r>
      <w:r w:rsidRPr="00253C6F">
        <w:rPr>
          <w:rFonts w:ascii="TimesNewRoman" w:eastAsia="Times New Roman" w:hAnsi="TimesNewRoman" w:cs="TimesNewRoman"/>
          <w:lang w:val="en-US" w:bidi="fa-IR"/>
        </w:rPr>
        <w:t>(</w:t>
      </w:r>
      <w:r>
        <w:rPr>
          <w:rFonts w:ascii="TimesNewRoman" w:eastAsia="Times New Roman" w:hAnsi="TimesNewRoman" w:cs="TimesNewRoman"/>
          <w:lang w:val="en-US" w:bidi="fa-IR"/>
        </w:rPr>
        <w:t>2014</w:t>
      </w:r>
      <w:r w:rsidRPr="00253C6F">
        <w:rPr>
          <w:rFonts w:ascii="TimesNewRoman" w:eastAsia="Times New Roman" w:hAnsi="TimesNewRoman" w:cs="TimesNewRoman"/>
          <w:lang w:val="en-US" w:bidi="fa-IR"/>
        </w:rPr>
        <w:t xml:space="preserve"> – </w:t>
      </w:r>
      <w:r>
        <w:rPr>
          <w:rFonts w:ascii="TimesNewRoman" w:eastAsia="Times New Roman" w:hAnsi="TimesNewRoman" w:cs="TimesNewRoman"/>
          <w:lang w:val="en-US" w:bidi="fa-IR"/>
        </w:rPr>
        <w:t>$171,287</w:t>
      </w:r>
      <w:r w:rsidRPr="00253C6F">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The major differences in the reporting periods include:</w:t>
      </w:r>
    </w:p>
    <w:p w:rsidR="001E1139" w:rsidRDefault="001E1139" w:rsidP="001E1139">
      <w:pPr>
        <w:autoSpaceDE w:val="0"/>
        <w:autoSpaceDN w:val="0"/>
        <w:adjustRightInd w:val="0"/>
        <w:spacing w:after="0" w:line="240" w:lineRule="auto"/>
        <w:ind w:left="720"/>
        <w:jc w:val="both"/>
        <w:rPr>
          <w:rFonts w:ascii="TimesNewRoman" w:eastAsia="Times New Roman" w:hAnsi="TimesNewRoman" w:cs="TimesNewRoman"/>
          <w:lang w:val="en-US" w:bidi="fa-IR"/>
        </w:rPr>
      </w:pPr>
    </w:p>
    <w:p w:rsidR="001E1139"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lastRenderedPageBreak/>
        <w:t>accounting and audit fees of $</w:t>
      </w:r>
      <w:r w:rsidR="00663C49">
        <w:rPr>
          <w:rFonts w:ascii="TimesNewRoman" w:eastAsia="Times New Roman" w:hAnsi="TimesNewRoman" w:cs="TimesNewRoman"/>
          <w:lang w:val="en-US" w:bidi="fa-IR"/>
        </w:rPr>
        <w:t>9,250</w:t>
      </w:r>
      <w:r>
        <w:rPr>
          <w:rFonts w:ascii="TimesNewRoman" w:eastAsia="Times New Roman" w:hAnsi="TimesNewRoman" w:cs="TimesNewRoman"/>
          <w:lang w:val="en-US" w:bidi="fa-IR"/>
        </w:rPr>
        <w:t xml:space="preserve"> (2014 - $7,750) related to professional fees attributed to accounting and annual audit requirements</w:t>
      </w:r>
    </w:p>
    <w:p w:rsidR="001E1139"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1F0B05">
        <w:rPr>
          <w:rFonts w:ascii="TimesNewRoman" w:eastAsia="Times New Roman" w:hAnsi="TimesNewRoman" w:cs="TimesNewRoman"/>
          <w:lang w:val="en-US" w:bidi="fa-IR"/>
        </w:rPr>
        <w:t xml:space="preserve">consulting fees </w:t>
      </w:r>
      <w:r>
        <w:rPr>
          <w:rFonts w:ascii="TimesNewRoman" w:eastAsia="Times New Roman" w:hAnsi="TimesNewRoman" w:cs="TimesNewRoman"/>
          <w:lang w:val="en-US" w:bidi="fa-IR"/>
        </w:rPr>
        <w:t xml:space="preserve">and management fees </w:t>
      </w:r>
      <w:r w:rsidRPr="001F0B05">
        <w:rPr>
          <w:rFonts w:ascii="TimesNewRoman" w:eastAsia="Times New Roman" w:hAnsi="TimesNewRoman" w:cs="TimesNewRoman"/>
          <w:lang w:val="en-US" w:bidi="fa-IR"/>
        </w:rPr>
        <w:t>of $</w:t>
      </w:r>
      <w:r w:rsidR="00663C49">
        <w:rPr>
          <w:rFonts w:ascii="TimesNewRoman" w:eastAsia="Times New Roman" w:hAnsi="TimesNewRoman" w:cs="TimesNewRoman"/>
          <w:lang w:val="en-US" w:bidi="fa-IR"/>
        </w:rPr>
        <w:t>68,173</w:t>
      </w:r>
      <w:r w:rsidRPr="001F0B05">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w:t>
      </w:r>
      <w:r w:rsidRPr="001F0B05">
        <w:rPr>
          <w:rFonts w:ascii="TimesNewRoman" w:eastAsia="Times New Roman" w:hAnsi="TimesNewRoman" w:cs="TimesNewRoman"/>
          <w:lang w:val="en-US" w:bidi="fa-IR"/>
        </w:rPr>
        <w:t xml:space="preserve"> - $</w:t>
      </w:r>
      <w:r>
        <w:rPr>
          <w:rFonts w:ascii="TimesNewRoman" w:eastAsia="Times New Roman" w:hAnsi="TimesNewRoman" w:cs="TimesNewRoman"/>
          <w:lang w:val="en-US" w:bidi="fa-IR"/>
        </w:rPr>
        <w:t>62,638) related to fees paid to the Company’s CEO, CFO and board of directors, as well as individuals providing business consulting services;</w:t>
      </w:r>
      <w:r w:rsidRPr="001F0B05">
        <w:rPr>
          <w:rFonts w:ascii="TimesNewRoman" w:eastAsia="Times New Roman" w:hAnsi="TimesNewRoman" w:cs="TimesNewRoman"/>
          <w:lang w:val="en-US" w:bidi="fa-IR"/>
        </w:rPr>
        <w:t xml:space="preserve"> </w:t>
      </w:r>
    </w:p>
    <w:p w:rsidR="001E1139" w:rsidRPr="00AE6651"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A97740">
        <w:rPr>
          <w:rFonts w:ascii="TimesNewRoman" w:eastAsia="Times New Roman" w:hAnsi="TimesNewRoman" w:cs="TimesNewRoman"/>
          <w:lang w:val="en-US" w:bidi="fa-IR"/>
        </w:rPr>
        <w:t xml:space="preserve">general office and miscellaneous </w:t>
      </w:r>
      <w:r>
        <w:rPr>
          <w:rFonts w:ascii="TimesNewRoman" w:eastAsia="Times New Roman" w:hAnsi="TimesNewRoman" w:cs="TimesNewRoman"/>
          <w:lang w:val="en-US" w:bidi="fa-IR"/>
        </w:rPr>
        <w:t xml:space="preserve">expenses of </w:t>
      </w:r>
      <w:r w:rsidRPr="00A97740">
        <w:rPr>
          <w:rFonts w:ascii="TimesNewRoman" w:eastAsia="Times New Roman" w:hAnsi="TimesNewRoman" w:cs="TimesNewRoman"/>
          <w:lang w:val="en-US" w:bidi="fa-IR"/>
        </w:rPr>
        <w:t>$</w:t>
      </w:r>
      <w:r w:rsidR="00663C49">
        <w:rPr>
          <w:rFonts w:ascii="TimesNewRoman" w:eastAsia="Times New Roman" w:hAnsi="TimesNewRoman" w:cs="TimesNewRoman"/>
          <w:lang w:val="en-US" w:bidi="fa-IR"/>
        </w:rPr>
        <w:t>2,268</w:t>
      </w:r>
      <w:r w:rsidRPr="00A97740">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w:t>
      </w:r>
      <w:r w:rsidRPr="00A97740">
        <w:rPr>
          <w:rFonts w:ascii="TimesNewRoman" w:eastAsia="Times New Roman" w:hAnsi="TimesNewRoman" w:cs="TimesNewRoman"/>
          <w:lang w:val="en-US" w:bidi="fa-IR"/>
        </w:rPr>
        <w:t xml:space="preserve"> - $</w:t>
      </w:r>
      <w:r>
        <w:rPr>
          <w:rFonts w:ascii="TimesNewRoman" w:eastAsia="Times New Roman" w:hAnsi="TimesNewRoman" w:cs="TimesNewRoman"/>
          <w:lang w:val="en-US" w:bidi="fa-IR"/>
        </w:rPr>
        <w:t>4,981</w:t>
      </w:r>
      <w:r w:rsidRPr="00A97740">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w:t>
      </w:r>
    </w:p>
    <w:p w:rsidR="001E1139"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investor relations and shareholder communications of</w:t>
      </w:r>
      <w:r w:rsidRPr="001F0B05">
        <w:rPr>
          <w:rFonts w:ascii="TimesNewRoman" w:eastAsia="Times New Roman" w:hAnsi="TimesNewRoman" w:cs="TimesNewRoman"/>
          <w:lang w:val="en-US" w:bidi="fa-IR"/>
        </w:rPr>
        <w:t xml:space="preserve"> $</w:t>
      </w:r>
      <w:r w:rsidR="00663C49">
        <w:rPr>
          <w:rFonts w:ascii="TimesNewRoman" w:eastAsia="Times New Roman" w:hAnsi="TimesNewRoman" w:cs="TimesNewRoman"/>
          <w:lang w:val="en-US" w:bidi="fa-IR"/>
        </w:rPr>
        <w:t>14,789</w:t>
      </w:r>
      <w:r w:rsidRPr="001F0B05">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w:t>
      </w:r>
      <w:r w:rsidRPr="001F0B05">
        <w:rPr>
          <w:rFonts w:ascii="TimesNewRoman" w:eastAsia="Times New Roman" w:hAnsi="TimesNewRoman" w:cs="TimesNewRoman"/>
          <w:lang w:val="en-US" w:bidi="fa-IR"/>
        </w:rPr>
        <w:t xml:space="preserve"> - $</w:t>
      </w:r>
      <w:r>
        <w:rPr>
          <w:rFonts w:ascii="TimesNewRoman" w:eastAsia="Times New Roman" w:hAnsi="TimesNewRoman" w:cs="TimesNewRoman"/>
          <w:lang w:val="en-US" w:bidi="fa-IR"/>
        </w:rPr>
        <w:t>54,524</w:t>
      </w:r>
      <w:r w:rsidRPr="001F0B05">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related to fees paid to investor relations personnel, costs associated with public relations and advertising campaigns;  </w:t>
      </w:r>
    </w:p>
    <w:p w:rsidR="001E1139"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rent of $</w:t>
      </w:r>
      <w:r w:rsidR="00663C49">
        <w:rPr>
          <w:rFonts w:ascii="TimesNewRoman" w:eastAsia="Times New Roman" w:hAnsi="TimesNewRoman" w:cs="TimesNewRoman"/>
          <w:lang w:val="en-US" w:bidi="fa-IR"/>
        </w:rPr>
        <w:t>27,765</w:t>
      </w:r>
      <w:r>
        <w:rPr>
          <w:rFonts w:ascii="TimesNewRoman" w:eastAsia="Times New Roman" w:hAnsi="TimesNewRoman" w:cs="TimesNewRoman"/>
          <w:lang w:val="en-US" w:bidi="fa-IR"/>
        </w:rPr>
        <w:t xml:space="preserve"> (2014 - $41,227) as the Company began renting office premises and </w:t>
      </w:r>
      <w:r w:rsidR="007828F1">
        <w:rPr>
          <w:rFonts w:ascii="TimesNewRoman" w:eastAsia="Times New Roman" w:hAnsi="TimesNewRoman" w:cs="TimesNewRoman"/>
          <w:lang w:val="en-US" w:bidi="fa-IR"/>
        </w:rPr>
        <w:t>Washington State manufacturing</w:t>
      </w:r>
      <w:r>
        <w:rPr>
          <w:rFonts w:ascii="TimesNewRoman" w:eastAsia="Times New Roman" w:hAnsi="TimesNewRoman" w:cs="TimesNewRoman"/>
          <w:lang w:val="en-US" w:bidi="fa-IR"/>
        </w:rPr>
        <w:t xml:space="preserve"> site; </w:t>
      </w:r>
    </w:p>
    <w:p w:rsidR="00DF684E" w:rsidRDefault="00DF684E"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share-based payments expense of $133,365 (2014 - $Nil) related to the fair value of 750,000 (2014 – Nil) incentive stock options granted and vested;</w:t>
      </w:r>
    </w:p>
    <w:p w:rsidR="00663C49" w:rsidRPr="00ED753B" w:rsidRDefault="00663C4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Pr>
          <w:rFonts w:ascii="TimesNewRoman" w:eastAsia="Times New Roman" w:hAnsi="TimesNewRoman" w:cs="TimesNewRoman"/>
          <w:lang w:val="en-US" w:bidi="fa-IR"/>
        </w:rPr>
        <w:t>travel and accommodation of $27,379 (2014 - $396) related to travel; and</w:t>
      </w:r>
    </w:p>
    <w:p w:rsidR="001E1139" w:rsidRPr="00A97740" w:rsidRDefault="001E1139" w:rsidP="001E1139">
      <w:pPr>
        <w:pStyle w:val="ListParagraph"/>
        <w:numPr>
          <w:ilvl w:val="0"/>
          <w:numId w:val="2"/>
        </w:numPr>
        <w:autoSpaceDE w:val="0"/>
        <w:autoSpaceDN w:val="0"/>
        <w:adjustRightInd w:val="0"/>
        <w:spacing w:after="0" w:line="240" w:lineRule="auto"/>
        <w:jc w:val="both"/>
        <w:rPr>
          <w:rFonts w:ascii="TimesNewRoman" w:eastAsia="Times New Roman" w:hAnsi="TimesNewRoman" w:cs="TimesNewRoman"/>
          <w:lang w:val="en-US" w:bidi="fa-IR"/>
        </w:rPr>
      </w:pPr>
      <w:r w:rsidRPr="00A97740">
        <w:rPr>
          <w:rFonts w:ascii="TimesNewRoman" w:eastAsia="Times New Roman" w:hAnsi="TimesNewRoman" w:cs="TimesNewRoman"/>
          <w:lang w:val="en-US" w:bidi="fa-IR"/>
        </w:rPr>
        <w:t>website design $</w:t>
      </w:r>
      <w:r w:rsidR="00663C49">
        <w:rPr>
          <w:rFonts w:ascii="TimesNewRoman" w:eastAsia="Times New Roman" w:hAnsi="TimesNewRoman" w:cs="TimesNewRoman"/>
          <w:lang w:val="en-US" w:bidi="fa-IR"/>
        </w:rPr>
        <w:t>98</w:t>
      </w:r>
      <w:r w:rsidRPr="00A97740">
        <w:rPr>
          <w:rFonts w:ascii="TimesNewRoman" w:eastAsia="Times New Roman" w:hAnsi="TimesNewRoman" w:cs="TimesNewRoman"/>
          <w:lang w:val="en-US" w:bidi="fa-IR"/>
        </w:rPr>
        <w:t xml:space="preserve"> (</w:t>
      </w:r>
      <w:r>
        <w:rPr>
          <w:rFonts w:ascii="TimesNewRoman" w:eastAsia="Times New Roman" w:hAnsi="TimesNewRoman" w:cs="TimesNewRoman"/>
          <w:lang w:val="en-US" w:bidi="fa-IR"/>
        </w:rPr>
        <w:t>2014</w:t>
      </w:r>
      <w:r w:rsidRPr="00A97740">
        <w:rPr>
          <w:rFonts w:ascii="TimesNewRoman" w:eastAsia="Times New Roman" w:hAnsi="TimesNewRoman" w:cs="TimesNewRoman"/>
          <w:lang w:val="en-US" w:bidi="fa-IR"/>
        </w:rPr>
        <w:t>-$</w:t>
      </w:r>
      <w:r>
        <w:rPr>
          <w:rFonts w:ascii="TimesNewRoman" w:eastAsia="Times New Roman" w:hAnsi="TimesNewRoman" w:cs="TimesNewRoman"/>
          <w:lang w:val="en-US" w:bidi="fa-IR"/>
        </w:rPr>
        <w:t>2,546</w:t>
      </w:r>
      <w:r w:rsidRPr="00A97740">
        <w:rPr>
          <w:rFonts w:ascii="TimesNewRoman" w:eastAsia="Times New Roman" w:hAnsi="TimesNewRoman" w:cs="TimesNewRoman"/>
          <w:lang w:val="en-US" w:bidi="fa-IR"/>
        </w:rPr>
        <w:t>)</w:t>
      </w:r>
      <w:r>
        <w:rPr>
          <w:rFonts w:ascii="TimesNewRoman" w:eastAsia="Times New Roman" w:hAnsi="TimesNewRoman" w:cs="TimesNewRoman"/>
          <w:lang w:val="en-US" w:bidi="fa-IR"/>
        </w:rPr>
        <w:t xml:space="preserve"> as the Company worked toward creating a website for Wildflower during the period.</w:t>
      </w:r>
    </w:p>
    <w:p w:rsidR="00E21118" w:rsidRDefault="00E21118" w:rsidP="00ED753B">
      <w:pPr>
        <w:autoSpaceDE w:val="0"/>
        <w:autoSpaceDN w:val="0"/>
        <w:adjustRightInd w:val="0"/>
        <w:spacing w:after="0" w:line="240" w:lineRule="auto"/>
        <w:jc w:val="both"/>
        <w:rPr>
          <w:rFonts w:ascii="TimesNewRoman" w:eastAsia="Times New Roman" w:hAnsi="TimesNewRoman" w:cs="TimesNewRoman"/>
          <w:sz w:val="10"/>
          <w:szCs w:val="10"/>
          <w:lang w:val="en-US" w:bidi="fa-IR"/>
        </w:rPr>
      </w:pPr>
    </w:p>
    <w:p w:rsidR="00253C6F" w:rsidRPr="00120E36" w:rsidRDefault="00253C6F" w:rsidP="00253C6F">
      <w:pPr>
        <w:tabs>
          <w:tab w:val="left" w:pos="-1440"/>
        </w:tabs>
        <w:spacing w:after="0" w:line="240" w:lineRule="auto"/>
        <w:ind w:left="720" w:right="-360" w:hanging="720"/>
        <w:jc w:val="both"/>
        <w:rPr>
          <w:rFonts w:ascii="Times New Roman" w:eastAsia="Times New Roman" w:hAnsi="Times New Roman" w:cs="Times New Roman"/>
          <w:sz w:val="12"/>
          <w:szCs w:val="12"/>
          <w:lang w:val="en-US"/>
        </w:rPr>
      </w:pPr>
      <w:r w:rsidRPr="00253C6F">
        <w:rPr>
          <w:rFonts w:ascii="Times New Roman" w:eastAsia="Times New Roman" w:hAnsi="Times New Roman" w:cs="Times New Roman"/>
          <w:lang w:val="en-US"/>
        </w:rPr>
        <w:tab/>
      </w:r>
    </w:p>
    <w:p w:rsidR="00253C6F" w:rsidRPr="00253C6F" w:rsidRDefault="00E64F70" w:rsidP="00253C6F">
      <w:pPr>
        <w:tabs>
          <w:tab w:val="left" w:pos="-14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rPr>
        <w:t>1.4</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Summary of Quarterly Results (</w:t>
      </w:r>
      <w:r w:rsidR="00253C6F" w:rsidRPr="00253C6F">
        <w:rPr>
          <w:rFonts w:ascii="Times New Roman" w:eastAsia="Times New Roman" w:hAnsi="Times New Roman" w:cs="Times New Roman"/>
          <w:b/>
          <w:bCs/>
          <w:i/>
          <w:iCs/>
          <w:u w:val="single"/>
        </w:rPr>
        <w:t>unaudited</w:t>
      </w:r>
      <w:r w:rsidR="00253C6F" w:rsidRPr="00253C6F">
        <w:rPr>
          <w:rFonts w:ascii="Times New Roman" w:eastAsia="Times New Roman" w:hAnsi="Times New Roman" w:cs="Times New Roman"/>
          <w:b/>
          <w:bCs/>
          <w:u w:val="single"/>
        </w:rPr>
        <w:t>)</w:t>
      </w:r>
    </w:p>
    <w:p w:rsidR="00253C6F" w:rsidRPr="00120E36" w:rsidRDefault="00253C6F" w:rsidP="00253C6F">
      <w:pPr>
        <w:spacing w:after="0" w:line="240" w:lineRule="auto"/>
        <w:ind w:firstLine="720"/>
        <w:jc w:val="both"/>
        <w:rPr>
          <w:rFonts w:ascii="Times New Roman" w:eastAsia="Times New Roman" w:hAnsi="Times New Roman" w:cs="Times New Roman"/>
          <w:sz w:val="12"/>
          <w:szCs w:val="1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746"/>
        <w:gridCol w:w="867"/>
        <w:gridCol w:w="787"/>
        <w:gridCol w:w="867"/>
        <w:gridCol w:w="867"/>
        <w:gridCol w:w="867"/>
        <w:gridCol w:w="872"/>
        <w:gridCol w:w="987"/>
        <w:gridCol w:w="760"/>
      </w:tblGrid>
      <w:tr w:rsidR="001E1139" w:rsidRPr="00253C6F" w:rsidTr="001E1139">
        <w:trPr>
          <w:trHeight w:val="288"/>
          <w:jc w:val="center"/>
        </w:trPr>
        <w:tc>
          <w:tcPr>
            <w:tcW w:w="1036" w:type="pct"/>
            <w:vAlign w:val="center"/>
          </w:tcPr>
          <w:p w:rsidR="001E1139" w:rsidRPr="00253C6F" w:rsidRDefault="001E1139" w:rsidP="00253C6F">
            <w:pPr>
              <w:keepNext/>
              <w:keepLines/>
              <w:spacing w:after="58" w:line="240" w:lineRule="auto"/>
              <w:jc w:val="center"/>
              <w:rPr>
                <w:rFonts w:ascii="Times New Roman" w:eastAsia="Times New Roman" w:hAnsi="Times New Roman" w:cs="Times New Roman"/>
                <w:b/>
                <w:sz w:val="18"/>
              </w:rPr>
            </w:pPr>
          </w:p>
          <w:p w:rsidR="001E1139" w:rsidRPr="00253C6F" w:rsidRDefault="001E1139" w:rsidP="00253C6F">
            <w:pPr>
              <w:keepNext/>
              <w:keepLines/>
              <w:spacing w:after="58" w:line="240" w:lineRule="auto"/>
              <w:jc w:val="center"/>
              <w:rPr>
                <w:rFonts w:ascii="Times New Roman" w:eastAsia="Times New Roman" w:hAnsi="Times New Roman" w:cs="Times New Roman"/>
                <w:b/>
                <w:sz w:val="24"/>
                <w:szCs w:val="24"/>
              </w:rPr>
            </w:pPr>
            <w:r w:rsidRPr="00253C6F">
              <w:rPr>
                <w:rFonts w:ascii="Times New Roman" w:eastAsia="Times New Roman" w:hAnsi="Times New Roman" w:cs="Times New Roman"/>
                <w:b/>
                <w:sz w:val="18"/>
              </w:rPr>
              <w:t>Expressed in $ - Quarters ended</w:t>
            </w:r>
          </w:p>
        </w:tc>
        <w:tc>
          <w:tcPr>
            <w:tcW w:w="454" w:type="pct"/>
            <w:vAlign w:val="bottom"/>
          </w:tcPr>
          <w:p w:rsidR="001E1139" w:rsidRPr="00253C6F" w:rsidRDefault="001E1139" w:rsidP="00ED753B">
            <w:pPr>
              <w:spacing w:after="0" w:line="240" w:lineRule="auto"/>
              <w:jc w:val="center"/>
              <w:rPr>
                <w:rFonts w:ascii="Times New Roman" w:eastAsia="Times New Roman" w:hAnsi="Times New Roman" w:cs="Times New Roman"/>
                <w:b/>
                <w:sz w:val="16"/>
                <w:szCs w:val="16"/>
              </w:rPr>
            </w:pPr>
          </w:p>
          <w:p w:rsidR="001E1139" w:rsidRPr="00253C6F" w:rsidRDefault="001E1139" w:rsidP="00ED753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Dec 15</w:t>
            </w:r>
          </w:p>
          <w:p w:rsidR="001E1139" w:rsidRPr="00253C6F" w:rsidRDefault="001E1139" w:rsidP="00ED753B">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72"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Sept 15</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88"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Jun 15</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90"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Mar 15</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522"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Dec</w:t>
            </w:r>
            <w:r w:rsidRPr="00253C6F">
              <w:rPr>
                <w:rFonts w:ascii="Times New Roman" w:eastAsia="Times New Roman" w:hAnsi="Times New Roman" w:cs="Times New Roman"/>
                <w:b/>
                <w:sz w:val="16"/>
                <w:szCs w:val="16"/>
              </w:rPr>
              <w:t xml:space="preserve"> 1</w:t>
            </w:r>
            <w:r w:rsidRPr="007B6172">
              <w:rPr>
                <w:rFonts w:ascii="Times New Roman" w:eastAsia="Times New Roman" w:hAnsi="Times New Roman" w:cs="Times New Roman"/>
                <w:b/>
                <w:sz w:val="16"/>
                <w:szCs w:val="16"/>
              </w:rPr>
              <w:t>4</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540"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Sept</w:t>
            </w:r>
            <w:r w:rsidRPr="00253C6F">
              <w:rPr>
                <w:rFonts w:ascii="Times New Roman" w:eastAsia="Times New Roman" w:hAnsi="Times New Roman" w:cs="Times New Roman"/>
                <w:b/>
                <w:sz w:val="16"/>
                <w:szCs w:val="16"/>
              </w:rPr>
              <w:t xml:space="preserve"> 1</w:t>
            </w:r>
            <w:r w:rsidRPr="007B6172">
              <w:rPr>
                <w:rFonts w:ascii="Times New Roman" w:eastAsia="Times New Roman" w:hAnsi="Times New Roman" w:cs="Times New Roman"/>
                <w:b/>
                <w:sz w:val="16"/>
                <w:szCs w:val="16"/>
              </w:rPr>
              <w:t>4</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556"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Jun 1</w:t>
            </w:r>
            <w:r w:rsidRPr="007B6172">
              <w:rPr>
                <w:rFonts w:ascii="Times New Roman" w:eastAsia="Times New Roman" w:hAnsi="Times New Roman" w:cs="Times New Roman"/>
                <w:b/>
                <w:sz w:val="16"/>
                <w:szCs w:val="16"/>
              </w:rPr>
              <w:t>4</w:t>
            </w: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7B6172">
              <w:rPr>
                <w:rFonts w:ascii="Times New Roman" w:eastAsia="Times New Roman" w:hAnsi="Times New Roman" w:cs="Times New Roman"/>
                <w:b/>
                <w:sz w:val="16"/>
                <w:szCs w:val="16"/>
              </w:rPr>
              <w:t>$</w:t>
            </w:r>
          </w:p>
        </w:tc>
        <w:tc>
          <w:tcPr>
            <w:tcW w:w="441" w:type="pct"/>
            <w:vAlign w:val="bottom"/>
          </w:tcPr>
          <w:p w:rsidR="001E1139" w:rsidRPr="00253C6F" w:rsidRDefault="001E1139" w:rsidP="001162F0">
            <w:pPr>
              <w:spacing w:after="0" w:line="240" w:lineRule="auto"/>
              <w:jc w:val="center"/>
              <w:rPr>
                <w:rFonts w:ascii="Times New Roman" w:eastAsia="Times New Roman" w:hAnsi="Times New Roman" w:cs="Times New Roman"/>
                <w:b/>
                <w:sz w:val="16"/>
                <w:szCs w:val="16"/>
              </w:rPr>
            </w:pPr>
          </w:p>
          <w:p w:rsidR="001E1139" w:rsidRPr="00253C6F" w:rsidRDefault="001E1139" w:rsidP="001162F0">
            <w:pPr>
              <w:spacing w:after="0"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Mar 1</w:t>
            </w:r>
            <w:r w:rsidRPr="00C63E7B">
              <w:rPr>
                <w:rFonts w:ascii="Times New Roman" w:eastAsia="Times New Roman" w:hAnsi="Times New Roman" w:cs="Times New Roman"/>
                <w:b/>
                <w:sz w:val="16"/>
                <w:szCs w:val="16"/>
              </w:rPr>
              <w:t>4</w:t>
            </w:r>
          </w:p>
          <w:p w:rsidR="001E1139" w:rsidRPr="00253C6F" w:rsidRDefault="001E1139" w:rsidP="001162F0">
            <w:pPr>
              <w:spacing w:after="0" w:line="240" w:lineRule="auto"/>
              <w:jc w:val="center"/>
              <w:rPr>
                <w:rFonts w:ascii="Times New Roman" w:eastAsia="Times New Roman" w:hAnsi="Times New Roman" w:cs="Times New Roman"/>
                <w:b/>
                <w:color w:val="FF0000"/>
                <w:sz w:val="16"/>
                <w:szCs w:val="16"/>
              </w:rPr>
            </w:pPr>
            <w:r w:rsidRPr="00253C6F">
              <w:rPr>
                <w:rFonts w:ascii="Times New Roman" w:eastAsia="Times New Roman" w:hAnsi="Times New Roman" w:cs="Times New Roman"/>
                <w:b/>
                <w:sz w:val="16"/>
                <w:szCs w:val="16"/>
              </w:rPr>
              <w:t>$</w:t>
            </w:r>
          </w:p>
        </w:tc>
      </w:tr>
      <w:tr w:rsidR="001E1139" w:rsidRPr="00253C6F" w:rsidTr="001E1139">
        <w:trPr>
          <w:trHeight w:val="288"/>
          <w:jc w:val="center"/>
        </w:trPr>
        <w:tc>
          <w:tcPr>
            <w:tcW w:w="1036" w:type="pct"/>
          </w:tcPr>
          <w:p w:rsidR="001E1139" w:rsidRPr="00253C6F" w:rsidRDefault="001E1139" w:rsidP="00253C6F">
            <w:pPr>
              <w:keepNext/>
              <w:keepLines/>
              <w:spacing w:after="0" w:line="120" w:lineRule="exact"/>
              <w:jc w:val="center"/>
              <w:rPr>
                <w:rFonts w:ascii="Times New Roman" w:eastAsia="Times New Roman" w:hAnsi="Times New Roman" w:cs="Times New Roman"/>
                <w:b/>
                <w:sz w:val="16"/>
                <w:szCs w:val="16"/>
              </w:rPr>
            </w:pPr>
          </w:p>
          <w:p w:rsidR="001E1139" w:rsidRPr="00253C6F" w:rsidRDefault="001E1139" w:rsidP="00253C6F">
            <w:pPr>
              <w:keepNext/>
              <w:keepLines/>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Royalty income</w:t>
            </w:r>
          </w:p>
        </w:tc>
        <w:tc>
          <w:tcPr>
            <w:tcW w:w="454" w:type="pct"/>
            <w:vAlign w:val="center"/>
          </w:tcPr>
          <w:p w:rsidR="001E1139" w:rsidRPr="00253C6F" w:rsidRDefault="001E1139" w:rsidP="002E3D20">
            <w:pPr>
              <w:spacing w:after="0" w:line="240" w:lineRule="auto"/>
              <w:jc w:val="center"/>
              <w:rPr>
                <w:rFonts w:ascii="Times New Roman" w:eastAsia="Times New Roman" w:hAnsi="Times New Roman" w:cs="Times New Roman"/>
                <w:sz w:val="16"/>
                <w:szCs w:val="16"/>
              </w:rPr>
            </w:pPr>
          </w:p>
          <w:p w:rsidR="001E1139" w:rsidRPr="00253C6F" w:rsidRDefault="001E1139" w:rsidP="002E3D2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2E3D20">
            <w:pPr>
              <w:spacing w:after="0" w:line="240" w:lineRule="auto"/>
              <w:jc w:val="center"/>
              <w:rPr>
                <w:rFonts w:ascii="Times New Roman" w:eastAsia="Times New Roman" w:hAnsi="Times New Roman" w:cs="Times New Roman"/>
                <w:sz w:val="16"/>
                <w:szCs w:val="16"/>
              </w:rPr>
            </w:pP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r w:rsidR="001E1139" w:rsidRPr="00253C6F" w:rsidTr="001E1139">
        <w:trPr>
          <w:trHeight w:val="288"/>
          <w:jc w:val="center"/>
        </w:trPr>
        <w:tc>
          <w:tcPr>
            <w:tcW w:w="1036" w:type="pct"/>
          </w:tcPr>
          <w:p w:rsidR="001E1139" w:rsidRPr="00253C6F" w:rsidRDefault="001E1139" w:rsidP="00253C6F">
            <w:pPr>
              <w:spacing w:after="58" w:line="240" w:lineRule="auto"/>
              <w:jc w:val="center"/>
              <w:rPr>
                <w:rFonts w:ascii="Times New Roman" w:eastAsia="Times New Roman" w:hAnsi="Times New Roman" w:cs="Times New Roman"/>
                <w:b/>
                <w:sz w:val="16"/>
                <w:szCs w:val="16"/>
              </w:rPr>
            </w:pPr>
          </w:p>
          <w:p w:rsidR="001E1139" w:rsidRPr="00253C6F" w:rsidRDefault="001E1139"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Net Income (loss) for the period</w:t>
            </w:r>
          </w:p>
        </w:tc>
        <w:tc>
          <w:tcPr>
            <w:tcW w:w="454" w:type="pct"/>
            <w:vAlign w:val="center"/>
          </w:tcPr>
          <w:p w:rsidR="001E1139" w:rsidRPr="00663C49" w:rsidRDefault="001E1139" w:rsidP="00DF684E">
            <w:pPr>
              <w:spacing w:after="0" w:line="240" w:lineRule="auto"/>
              <w:jc w:val="center"/>
              <w:rPr>
                <w:rFonts w:ascii="Times New Roman" w:eastAsia="Times New Roman" w:hAnsi="Times New Roman" w:cs="Times New Roman"/>
                <w:sz w:val="16"/>
                <w:szCs w:val="16"/>
              </w:rPr>
            </w:pPr>
            <w:r w:rsidRPr="00663C49">
              <w:rPr>
                <w:rFonts w:ascii="Times New Roman" w:eastAsia="Times New Roman" w:hAnsi="Times New Roman" w:cs="Times New Roman"/>
                <w:sz w:val="16"/>
                <w:szCs w:val="16"/>
              </w:rPr>
              <w:t>(</w:t>
            </w:r>
            <w:r w:rsidR="00DF684E">
              <w:rPr>
                <w:rFonts w:ascii="Times New Roman" w:eastAsia="Times New Roman" w:hAnsi="Times New Roman" w:cs="Times New Roman"/>
                <w:sz w:val="16"/>
                <w:szCs w:val="16"/>
              </w:rPr>
              <w:t>267,271</w:t>
            </w:r>
            <w:r w:rsidRPr="00663C49">
              <w:rPr>
                <w:rFonts w:ascii="Times New Roman" w:eastAsia="Times New Roman" w:hAnsi="Times New Roman" w:cs="Times New Roman"/>
                <w:sz w:val="16"/>
                <w:szCs w:val="16"/>
              </w:rPr>
              <w:t>)</w:t>
            </w: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(85,249)</w:t>
            </w: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(349,129)</w:t>
            </w: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(189,750)</w:t>
            </w: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(171,287)</w:t>
            </w: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(609,004)</w:t>
            </w: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7B6172">
              <w:rPr>
                <w:rFonts w:ascii="Times New Roman" w:eastAsia="Times New Roman" w:hAnsi="Times New Roman" w:cs="Times New Roman"/>
                <w:sz w:val="16"/>
                <w:szCs w:val="16"/>
              </w:rPr>
              <w:t>1</w:t>
            </w:r>
            <w:r>
              <w:rPr>
                <w:rFonts w:ascii="Times New Roman" w:eastAsia="Times New Roman" w:hAnsi="Times New Roman" w:cs="Times New Roman"/>
                <w:sz w:val="16"/>
                <w:szCs w:val="16"/>
              </w:rPr>
              <w:t>,273,239)</w:t>
            </w: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139,260</w:t>
            </w:r>
          </w:p>
        </w:tc>
      </w:tr>
      <w:tr w:rsidR="001E1139" w:rsidRPr="00253C6F" w:rsidTr="001E1139">
        <w:trPr>
          <w:trHeight w:val="288"/>
          <w:jc w:val="center"/>
        </w:trPr>
        <w:tc>
          <w:tcPr>
            <w:tcW w:w="1036" w:type="pct"/>
          </w:tcPr>
          <w:p w:rsidR="001E1139" w:rsidRPr="00253C6F" w:rsidRDefault="001E1139" w:rsidP="00253C6F">
            <w:pPr>
              <w:spacing w:after="0" w:line="120" w:lineRule="exact"/>
              <w:jc w:val="center"/>
              <w:rPr>
                <w:rFonts w:ascii="Times New Roman" w:eastAsia="Times New Roman" w:hAnsi="Times New Roman" w:cs="Times New Roman"/>
                <w:b/>
                <w:sz w:val="16"/>
                <w:szCs w:val="16"/>
              </w:rPr>
            </w:pPr>
          </w:p>
          <w:p w:rsidR="001E1139" w:rsidRPr="00253C6F" w:rsidRDefault="001E1139"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Income (Loss)  per share (basic &amp; diluted)</w:t>
            </w:r>
          </w:p>
        </w:tc>
        <w:tc>
          <w:tcPr>
            <w:tcW w:w="454" w:type="pct"/>
            <w:vAlign w:val="center"/>
          </w:tcPr>
          <w:p w:rsidR="001E1139" w:rsidRPr="00663C49" w:rsidRDefault="001E1139" w:rsidP="00DF684E">
            <w:pPr>
              <w:spacing w:after="0" w:line="240" w:lineRule="auto"/>
              <w:jc w:val="center"/>
              <w:rPr>
                <w:rFonts w:ascii="Times New Roman" w:eastAsia="Times New Roman" w:hAnsi="Times New Roman" w:cs="Times New Roman"/>
                <w:sz w:val="16"/>
                <w:szCs w:val="16"/>
              </w:rPr>
            </w:pPr>
            <w:r w:rsidRPr="00663C49">
              <w:rPr>
                <w:rFonts w:ascii="Times New Roman" w:eastAsia="Times New Roman" w:hAnsi="Times New Roman" w:cs="Times New Roman"/>
                <w:sz w:val="16"/>
                <w:szCs w:val="16"/>
              </w:rPr>
              <w:t>(0.</w:t>
            </w:r>
            <w:r w:rsidR="00DF684E">
              <w:rPr>
                <w:rFonts w:ascii="Times New Roman" w:eastAsia="Times New Roman" w:hAnsi="Times New Roman" w:cs="Times New Roman"/>
                <w:sz w:val="16"/>
                <w:szCs w:val="16"/>
              </w:rPr>
              <w:t>007</w:t>
            </w:r>
            <w:r w:rsidRPr="00663C49">
              <w:rPr>
                <w:rFonts w:ascii="Times New Roman" w:eastAsia="Times New Roman" w:hAnsi="Times New Roman" w:cs="Times New Roman"/>
                <w:sz w:val="16"/>
                <w:szCs w:val="16"/>
              </w:rPr>
              <w:t>)</w:t>
            </w: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(0.002)</w:t>
            </w: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(0.010)</w:t>
            </w: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(0.006)</w:t>
            </w: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(0.006)</w:t>
            </w: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(0.019)</w:t>
            </w: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(0.092)</w:t>
            </w: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0.0</w:t>
            </w:r>
            <w:r>
              <w:rPr>
                <w:rFonts w:ascii="Times New Roman" w:eastAsia="Times New Roman" w:hAnsi="Times New Roman" w:cs="Times New Roman"/>
                <w:sz w:val="16"/>
                <w:szCs w:val="16"/>
              </w:rPr>
              <w:t>1</w:t>
            </w:r>
          </w:p>
        </w:tc>
      </w:tr>
      <w:tr w:rsidR="001E1139" w:rsidRPr="00253C6F" w:rsidTr="001E1139">
        <w:trPr>
          <w:trHeight w:val="288"/>
          <w:jc w:val="center"/>
        </w:trPr>
        <w:tc>
          <w:tcPr>
            <w:tcW w:w="1036" w:type="pct"/>
            <w:vAlign w:val="center"/>
          </w:tcPr>
          <w:p w:rsidR="001E1139" w:rsidRPr="00253C6F" w:rsidRDefault="001E1139"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assets</w:t>
            </w:r>
          </w:p>
        </w:tc>
        <w:tc>
          <w:tcPr>
            <w:tcW w:w="454" w:type="pct"/>
            <w:vAlign w:val="center"/>
          </w:tcPr>
          <w:p w:rsidR="001E1139" w:rsidRPr="00253C6F" w:rsidRDefault="00663C49" w:rsidP="002E3D2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408,789</w:t>
            </w: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369,258</w:t>
            </w: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354,036</w:t>
            </w: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324,237</w:t>
            </w: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280,467</w:t>
            </w: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427,651</w:t>
            </w: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423,930</w:t>
            </w: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C63E7B">
              <w:rPr>
                <w:rFonts w:ascii="Times New Roman" w:eastAsia="Times New Roman" w:hAnsi="Times New Roman" w:cs="Times New Roman"/>
                <w:sz w:val="16"/>
                <w:szCs w:val="16"/>
              </w:rPr>
              <w:t>957,256</w:t>
            </w:r>
          </w:p>
        </w:tc>
      </w:tr>
      <w:tr w:rsidR="001E1139" w:rsidRPr="00253C6F" w:rsidTr="001E1139">
        <w:trPr>
          <w:trHeight w:val="360"/>
          <w:jc w:val="center"/>
        </w:trPr>
        <w:tc>
          <w:tcPr>
            <w:tcW w:w="1036" w:type="pct"/>
          </w:tcPr>
          <w:p w:rsidR="001E1139" w:rsidRPr="00253C6F" w:rsidRDefault="001E1139" w:rsidP="00253C6F">
            <w:pPr>
              <w:spacing w:after="0" w:line="120" w:lineRule="exact"/>
              <w:jc w:val="center"/>
              <w:rPr>
                <w:rFonts w:ascii="Times New Roman" w:eastAsia="Times New Roman" w:hAnsi="Times New Roman" w:cs="Times New Roman"/>
                <w:b/>
                <w:sz w:val="16"/>
                <w:szCs w:val="16"/>
              </w:rPr>
            </w:pPr>
          </w:p>
          <w:p w:rsidR="001E1139" w:rsidRPr="00253C6F" w:rsidRDefault="001E1139"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Total long term liabilities</w:t>
            </w:r>
          </w:p>
        </w:tc>
        <w:tc>
          <w:tcPr>
            <w:tcW w:w="454" w:type="pct"/>
            <w:vAlign w:val="center"/>
          </w:tcPr>
          <w:p w:rsidR="001E1139" w:rsidRPr="00253C6F" w:rsidRDefault="001E1139" w:rsidP="002E3D20">
            <w:pPr>
              <w:spacing w:after="0" w:line="240" w:lineRule="auto"/>
              <w:jc w:val="center"/>
              <w:rPr>
                <w:rFonts w:ascii="Times New Roman" w:eastAsia="Times New Roman" w:hAnsi="Times New Roman" w:cs="Times New Roman"/>
                <w:sz w:val="16"/>
                <w:szCs w:val="16"/>
              </w:rPr>
            </w:pPr>
          </w:p>
          <w:p w:rsidR="001E1139" w:rsidRPr="00253C6F" w:rsidRDefault="001E1139" w:rsidP="002E3D2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2E3D20">
            <w:pPr>
              <w:spacing w:after="0" w:line="240" w:lineRule="auto"/>
              <w:jc w:val="center"/>
              <w:rPr>
                <w:rFonts w:ascii="Times New Roman" w:eastAsia="Times New Roman" w:hAnsi="Times New Roman" w:cs="Times New Roman"/>
                <w:sz w:val="16"/>
                <w:szCs w:val="16"/>
              </w:rPr>
            </w:pP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p>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p w:rsidR="001E1139" w:rsidRPr="00253C6F" w:rsidRDefault="001E1139" w:rsidP="001162F0">
            <w:pPr>
              <w:spacing w:after="0" w:line="240" w:lineRule="auto"/>
              <w:jc w:val="center"/>
              <w:rPr>
                <w:rFonts w:ascii="Times New Roman" w:eastAsia="Times New Roman" w:hAnsi="Times New Roman" w:cs="Times New Roman"/>
                <w:sz w:val="16"/>
                <w:szCs w:val="16"/>
              </w:rPr>
            </w:pP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r w:rsidR="001E1139" w:rsidRPr="00253C6F" w:rsidTr="001E1139">
        <w:trPr>
          <w:trHeight w:val="360"/>
          <w:jc w:val="center"/>
        </w:trPr>
        <w:tc>
          <w:tcPr>
            <w:tcW w:w="1036" w:type="pct"/>
          </w:tcPr>
          <w:p w:rsidR="001E1139" w:rsidRPr="00253C6F" w:rsidRDefault="001E1139" w:rsidP="00253C6F">
            <w:pPr>
              <w:spacing w:after="0" w:line="120" w:lineRule="exact"/>
              <w:jc w:val="center"/>
              <w:rPr>
                <w:rFonts w:ascii="Times New Roman" w:eastAsia="Times New Roman" w:hAnsi="Times New Roman" w:cs="Times New Roman"/>
                <w:b/>
                <w:sz w:val="16"/>
                <w:szCs w:val="16"/>
              </w:rPr>
            </w:pPr>
          </w:p>
          <w:p w:rsidR="001E1139" w:rsidRPr="00253C6F" w:rsidRDefault="001E1139" w:rsidP="00253C6F">
            <w:pPr>
              <w:spacing w:after="58" w:line="240" w:lineRule="auto"/>
              <w:jc w:val="center"/>
              <w:rPr>
                <w:rFonts w:ascii="Times New Roman" w:eastAsia="Times New Roman" w:hAnsi="Times New Roman" w:cs="Times New Roman"/>
                <w:b/>
                <w:sz w:val="16"/>
                <w:szCs w:val="16"/>
              </w:rPr>
            </w:pPr>
            <w:r w:rsidRPr="00253C6F">
              <w:rPr>
                <w:rFonts w:ascii="Times New Roman" w:eastAsia="Times New Roman" w:hAnsi="Times New Roman" w:cs="Times New Roman"/>
                <w:b/>
                <w:sz w:val="16"/>
                <w:szCs w:val="16"/>
              </w:rPr>
              <w:t>Oil &amp; gas properties and deferred expenditures</w:t>
            </w:r>
          </w:p>
        </w:tc>
        <w:tc>
          <w:tcPr>
            <w:tcW w:w="454" w:type="pct"/>
            <w:vAlign w:val="center"/>
          </w:tcPr>
          <w:p w:rsidR="001E1139" w:rsidRPr="00253C6F" w:rsidRDefault="001E1139" w:rsidP="002E3D2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7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88"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9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522"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540"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556"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c>
          <w:tcPr>
            <w:tcW w:w="441" w:type="pct"/>
            <w:vAlign w:val="center"/>
          </w:tcPr>
          <w:p w:rsidR="001E1139" w:rsidRPr="00253C6F" w:rsidRDefault="001E1139" w:rsidP="001162F0">
            <w:pPr>
              <w:spacing w:after="0" w:line="240" w:lineRule="auto"/>
              <w:jc w:val="center"/>
              <w:rPr>
                <w:rFonts w:ascii="Times New Roman" w:eastAsia="Times New Roman" w:hAnsi="Times New Roman" w:cs="Times New Roman"/>
                <w:sz w:val="16"/>
                <w:szCs w:val="16"/>
              </w:rPr>
            </w:pPr>
            <w:r w:rsidRPr="00253C6F">
              <w:rPr>
                <w:rFonts w:ascii="Times New Roman" w:eastAsia="Times New Roman" w:hAnsi="Times New Roman" w:cs="Times New Roman"/>
                <w:sz w:val="16"/>
                <w:szCs w:val="16"/>
              </w:rPr>
              <w:t>Nil</w:t>
            </w:r>
          </w:p>
        </w:tc>
      </w:tr>
    </w:tbl>
    <w:p w:rsidR="00253C6F" w:rsidRPr="00120E36" w:rsidRDefault="00253C6F" w:rsidP="00253C6F">
      <w:pPr>
        <w:spacing w:after="0" w:line="240" w:lineRule="auto"/>
        <w:ind w:left="720" w:right="-360"/>
        <w:jc w:val="both"/>
        <w:rPr>
          <w:rFonts w:ascii="Times New Roman" w:eastAsia="Times New Roman" w:hAnsi="Times New Roman" w:cs="Times New Roman"/>
          <w:sz w:val="12"/>
          <w:szCs w:val="12"/>
        </w:rPr>
      </w:pPr>
    </w:p>
    <w:p w:rsidR="00253C6F" w:rsidRPr="00253C6F" w:rsidRDefault="00E64F70" w:rsidP="00253C6F">
      <w:pPr>
        <w:spacing w:after="0" w:line="240" w:lineRule="auto"/>
        <w:jc w:val="both"/>
        <w:rPr>
          <w:rFonts w:ascii="Times New Roman" w:eastAsia="Times New Roman" w:hAnsi="Times New Roman" w:cs="Times New Roman"/>
          <w:b/>
          <w:bCs/>
          <w:u w:val="single"/>
        </w:rPr>
      </w:pPr>
      <w:r>
        <w:rPr>
          <w:rFonts w:ascii="Times New Roman" w:eastAsia="Times New Roman" w:hAnsi="Times New Roman" w:cs="Times New Roman"/>
        </w:rPr>
        <w:t>1.5</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Liquidity and Capital Resources</w:t>
      </w:r>
    </w:p>
    <w:p w:rsidR="00253C6F" w:rsidRPr="00253C6F" w:rsidRDefault="00253C6F" w:rsidP="00253C6F">
      <w:pPr>
        <w:spacing w:after="0" w:line="240" w:lineRule="auto"/>
        <w:jc w:val="both"/>
        <w:rPr>
          <w:rFonts w:ascii="Times New Roman" w:eastAsia="Times New Roman" w:hAnsi="Times New Roman" w:cs="Times New Roman"/>
        </w:rPr>
      </w:pPr>
    </w:p>
    <w:p w:rsidR="00663C49" w:rsidRDefault="00253C6F" w:rsidP="00120E36">
      <w:pPr>
        <w:spacing w:after="0" w:line="240" w:lineRule="auto"/>
        <w:ind w:left="720"/>
        <w:jc w:val="both"/>
        <w:rPr>
          <w:rFonts w:ascii="Times New Roman" w:eastAsia="Times New Roman" w:hAnsi="Times New Roman" w:cs="Times New Roman"/>
        </w:rPr>
      </w:pPr>
      <w:r w:rsidRPr="00A97740">
        <w:rPr>
          <w:rFonts w:ascii="Times New Roman" w:eastAsia="Times New Roman" w:hAnsi="Times New Roman" w:cs="Times New Roman"/>
        </w:rPr>
        <w:t xml:space="preserve">The Company is </w:t>
      </w:r>
      <w:r w:rsidR="00A97740" w:rsidRPr="00A97740">
        <w:rPr>
          <w:rFonts w:ascii="Times New Roman" w:eastAsia="Times New Roman" w:hAnsi="Times New Roman" w:cs="Times New Roman"/>
        </w:rPr>
        <w:t>currently seeking license to grow medicinal marijuana from Health Canada</w:t>
      </w:r>
      <w:r w:rsidRPr="00A97740">
        <w:rPr>
          <w:rFonts w:ascii="Times New Roman" w:eastAsia="Times New Roman" w:hAnsi="Times New Roman" w:cs="Times New Roman"/>
        </w:rPr>
        <w:t xml:space="preserve"> and is exposed to a number of risks and uncertainties inherent to </w:t>
      </w:r>
      <w:r w:rsidR="00A97740" w:rsidRPr="00A97740">
        <w:rPr>
          <w:rFonts w:ascii="Times New Roman" w:eastAsia="Times New Roman" w:hAnsi="Times New Roman" w:cs="Times New Roman"/>
        </w:rPr>
        <w:t>this industry</w:t>
      </w:r>
      <w:r w:rsidRPr="00A97740">
        <w:rPr>
          <w:rFonts w:ascii="Times New Roman" w:eastAsia="Times New Roman" w:hAnsi="Times New Roman" w:cs="Times New Roman"/>
        </w:rPr>
        <w:t xml:space="preserve">.  This activity is capital intensive at all stages and subject to the fluctuations in </w:t>
      </w:r>
      <w:r w:rsidR="00A97740" w:rsidRPr="00A97740">
        <w:rPr>
          <w:rFonts w:ascii="Times New Roman" w:eastAsia="Times New Roman" w:hAnsi="Times New Roman" w:cs="Times New Roman"/>
        </w:rPr>
        <w:t>political views, government regulations, market</w:t>
      </w:r>
      <w:r w:rsidRPr="00A97740">
        <w:rPr>
          <w:rFonts w:ascii="Times New Roman" w:eastAsia="Times New Roman" w:hAnsi="Times New Roman" w:cs="Times New Roman"/>
        </w:rPr>
        <w:t xml:space="preserve"> prices, market sentiment, inflation, and other risks.</w:t>
      </w:r>
    </w:p>
    <w:p w:rsidR="00DF684E" w:rsidRDefault="00DF684E" w:rsidP="00120E36">
      <w:pPr>
        <w:spacing w:after="0" w:line="240" w:lineRule="auto"/>
        <w:ind w:left="720"/>
        <w:jc w:val="both"/>
        <w:rPr>
          <w:rFonts w:ascii="Times New Roman" w:eastAsia="Times New Roman" w:hAnsi="Times New Roman" w:cs="Times New Roman"/>
        </w:rPr>
      </w:pPr>
    </w:p>
    <w:p w:rsidR="00253C6F" w:rsidRPr="00253C6F" w:rsidRDefault="00253C6F" w:rsidP="00120E36">
      <w:pPr>
        <w:spacing w:after="0" w:line="240" w:lineRule="auto"/>
        <w:ind w:left="720"/>
        <w:jc w:val="both"/>
        <w:rPr>
          <w:rFonts w:ascii="Times New Roman" w:eastAsia="Times New Roman" w:hAnsi="Times New Roman" w:cs="Times New Roman"/>
        </w:rPr>
      </w:pPr>
      <w:r w:rsidRPr="00A97740">
        <w:rPr>
          <w:rFonts w:ascii="Times New Roman" w:eastAsia="Times New Roman" w:hAnsi="Times New Roman" w:cs="Times New Roman"/>
        </w:rPr>
        <w:t>The Com</w:t>
      </w:r>
      <w:r w:rsidRPr="00253C6F">
        <w:rPr>
          <w:rFonts w:ascii="Times New Roman" w:eastAsia="Times New Roman" w:hAnsi="Times New Roman" w:cs="Times New Roman"/>
        </w:rPr>
        <w:t xml:space="preserve">pany currently has no income, but relies primarily on equity financing to fund its </w:t>
      </w:r>
      <w:r w:rsidR="00A97740">
        <w:rPr>
          <w:rFonts w:ascii="Times New Roman" w:eastAsia="Times New Roman" w:hAnsi="Times New Roman" w:cs="Times New Roman"/>
        </w:rPr>
        <w:t>business activities</w:t>
      </w:r>
      <w:r w:rsidRPr="00253C6F">
        <w:rPr>
          <w:rFonts w:ascii="Times New Roman" w:eastAsia="Times New Roman" w:hAnsi="Times New Roman" w:cs="Times New Roman"/>
        </w:rPr>
        <w:t xml:space="preserve"> and administrative activities.  Material increases or decreases in the Company liquidity will be substantially determined by the </w:t>
      </w:r>
      <w:r w:rsidR="006A3477">
        <w:rPr>
          <w:rFonts w:ascii="Times New Roman" w:eastAsia="Times New Roman" w:hAnsi="Times New Roman" w:cs="Times New Roman"/>
        </w:rPr>
        <w:t>Company’s ability to move its application forward with Health Canada</w:t>
      </w:r>
      <w:r w:rsidRPr="00253C6F">
        <w:rPr>
          <w:rFonts w:ascii="Times New Roman" w:eastAsia="Times New Roman" w:hAnsi="Times New Roman" w:cs="Times New Roman"/>
        </w:rPr>
        <w:t xml:space="preserve">, as well as its continued ability to raise capital. </w:t>
      </w:r>
    </w:p>
    <w:p w:rsidR="00253C6F" w:rsidRPr="00253C6F" w:rsidRDefault="00253C6F" w:rsidP="00120E36">
      <w:pPr>
        <w:spacing w:after="0" w:line="240" w:lineRule="auto"/>
        <w:jc w:val="both"/>
        <w:rPr>
          <w:rFonts w:ascii="Times New Roman" w:eastAsia="Times New Roman" w:hAnsi="Times New Roman" w:cs="Times New Roman"/>
        </w:rPr>
      </w:pPr>
    </w:p>
    <w:p w:rsidR="00663C49" w:rsidRDefault="00663C49" w:rsidP="00120E36">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During the six months ended December 31, 2015, the Company issued 3,287,830 common shares pursuant to private placement for gross proceeds of $385,675, and issued 140,333 common shares pursuant to the exercise of share purchase warrants for gross proceeds of $33,550.</w:t>
      </w:r>
    </w:p>
    <w:p w:rsidR="00663C49" w:rsidRDefault="00663C49" w:rsidP="00120E36">
      <w:pPr>
        <w:spacing w:after="0" w:line="240" w:lineRule="auto"/>
        <w:ind w:left="720"/>
        <w:jc w:val="both"/>
        <w:rPr>
          <w:rFonts w:ascii="Times New Roman" w:eastAsia="Times New Roman" w:hAnsi="Times New Roman" w:cs="Times New Roman"/>
        </w:rPr>
      </w:pPr>
    </w:p>
    <w:p w:rsidR="00253C6F" w:rsidRPr="00253C6F" w:rsidRDefault="00253C6F" w:rsidP="00120E36">
      <w:pPr>
        <w:spacing w:after="0" w:line="240" w:lineRule="auto"/>
        <w:ind w:left="720"/>
        <w:jc w:val="both"/>
        <w:rPr>
          <w:rFonts w:ascii="Times New Roman" w:eastAsia="Times New Roman" w:hAnsi="Times New Roman" w:cs="Times New Roman"/>
          <w:sz w:val="21"/>
          <w:szCs w:val="24"/>
          <w:lang w:val="en-GB"/>
        </w:rPr>
      </w:pPr>
      <w:r w:rsidRPr="00253C6F">
        <w:rPr>
          <w:rFonts w:ascii="Times New Roman" w:eastAsia="Times New Roman" w:hAnsi="Times New Roman" w:cs="Times New Roman"/>
        </w:rPr>
        <w:t xml:space="preserve">At </w:t>
      </w:r>
      <w:r w:rsidR="001E1139">
        <w:rPr>
          <w:rFonts w:ascii="Times New Roman" w:eastAsia="Times New Roman" w:hAnsi="Times New Roman" w:cs="Times New Roman"/>
        </w:rPr>
        <w:t>December 31</w:t>
      </w:r>
      <w:r w:rsidR="00D140F1">
        <w:rPr>
          <w:rFonts w:ascii="Times New Roman" w:eastAsia="Times New Roman" w:hAnsi="Times New Roman" w:cs="Times New Roman"/>
        </w:rPr>
        <w:t>, 2015</w:t>
      </w:r>
      <w:r w:rsidRPr="00253C6F">
        <w:rPr>
          <w:rFonts w:ascii="Times New Roman" w:eastAsia="Times New Roman" w:hAnsi="Times New Roman" w:cs="Times New Roman"/>
        </w:rPr>
        <w:t xml:space="preserve"> the Company had working capital of $</w:t>
      </w:r>
      <w:r w:rsidR="00663C49">
        <w:rPr>
          <w:rFonts w:ascii="Times New Roman" w:eastAsia="Times New Roman" w:hAnsi="Times New Roman" w:cs="Times New Roman"/>
        </w:rPr>
        <w:t>92,643</w:t>
      </w:r>
      <w:r w:rsidRPr="00253C6F">
        <w:rPr>
          <w:rFonts w:ascii="Times New Roman" w:eastAsia="Times New Roman" w:hAnsi="Times New Roman" w:cs="Times New Roman"/>
        </w:rPr>
        <w:t xml:space="preserve"> (</w:t>
      </w:r>
      <w:r w:rsidR="00AE6651">
        <w:rPr>
          <w:rFonts w:ascii="Times New Roman" w:eastAsia="Times New Roman" w:hAnsi="Times New Roman" w:cs="Times New Roman"/>
        </w:rPr>
        <w:t xml:space="preserve">June 30, </w:t>
      </w:r>
      <w:r w:rsidR="00CE6FF9">
        <w:rPr>
          <w:rFonts w:ascii="Times New Roman" w:eastAsia="Times New Roman" w:hAnsi="Times New Roman" w:cs="Times New Roman"/>
        </w:rPr>
        <w:t>2015</w:t>
      </w:r>
      <w:r w:rsidRPr="00253C6F">
        <w:rPr>
          <w:rFonts w:ascii="Times New Roman" w:eastAsia="Times New Roman" w:hAnsi="Times New Roman" w:cs="Times New Roman"/>
        </w:rPr>
        <w:t>: $</w:t>
      </w:r>
      <w:r w:rsidR="00CE6FF9">
        <w:rPr>
          <w:rFonts w:ascii="Times New Roman" w:eastAsia="Times New Roman" w:hAnsi="Times New Roman" w:cs="Times New Roman"/>
        </w:rPr>
        <w:t>99,445</w:t>
      </w:r>
      <w:r w:rsidRPr="00253C6F">
        <w:rPr>
          <w:rFonts w:ascii="Times New Roman" w:eastAsia="Times New Roman" w:hAnsi="Times New Roman" w:cs="Times New Roman"/>
        </w:rPr>
        <w:t xml:space="preserve">). </w:t>
      </w:r>
    </w:p>
    <w:p w:rsidR="00253C6F" w:rsidRPr="00253C6F" w:rsidRDefault="00253C6F" w:rsidP="00253C6F">
      <w:pPr>
        <w:spacing w:after="0" w:line="240" w:lineRule="auto"/>
        <w:ind w:right="-360"/>
        <w:jc w:val="both"/>
        <w:rPr>
          <w:rFonts w:ascii="Times New Roman" w:eastAsia="Times New Roman" w:hAnsi="Times New Roman" w:cs="Times New Roman"/>
          <w:lang w:val="en-GB"/>
        </w:rPr>
      </w:pPr>
    </w:p>
    <w:p w:rsidR="00253C6F" w:rsidRPr="00253C6F" w:rsidRDefault="00E64F70" w:rsidP="00253C6F">
      <w:pPr>
        <w:spacing w:after="0" w:line="240" w:lineRule="auto"/>
        <w:ind w:right="-360"/>
        <w:jc w:val="both"/>
        <w:rPr>
          <w:rFonts w:ascii="Times New Roman" w:eastAsia="Times New Roman" w:hAnsi="Times New Roman" w:cs="Times New Roman"/>
        </w:rPr>
      </w:pPr>
      <w:r>
        <w:rPr>
          <w:rFonts w:ascii="Times New Roman" w:eastAsia="Times New Roman" w:hAnsi="Times New Roman" w:cs="Times New Roman"/>
        </w:rPr>
        <w:t>1.6</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Off-Balance Sheet Arrangements</w:t>
      </w:r>
    </w:p>
    <w:p w:rsidR="00253C6F" w:rsidRPr="00253C6F" w:rsidRDefault="00253C6F" w:rsidP="00253C6F">
      <w:pPr>
        <w:spacing w:after="0" w:line="240" w:lineRule="auto"/>
        <w:ind w:right="-360"/>
        <w:jc w:val="both"/>
        <w:rPr>
          <w:rFonts w:ascii="Times New Roman" w:eastAsia="Times New Roman" w:hAnsi="Times New Roman" w:cs="Times New Roman"/>
        </w:rPr>
      </w:pPr>
    </w:p>
    <w:p w:rsidR="00253C6F" w:rsidRDefault="00253C6F" w:rsidP="00120E36">
      <w:pPr>
        <w:widowControl w:val="0"/>
        <w:autoSpaceDE w:val="0"/>
        <w:autoSpaceDN w:val="0"/>
        <w:adjustRightInd w:val="0"/>
        <w:spacing w:after="0" w:line="240" w:lineRule="auto"/>
        <w:ind w:left="720"/>
        <w:jc w:val="both"/>
        <w:rPr>
          <w:rFonts w:ascii="Times New Roman" w:eastAsia="Times New Roman" w:hAnsi="Times New Roman" w:cs="Times New Roman"/>
          <w:lang w:val="en-US"/>
        </w:rPr>
      </w:pPr>
      <w:r w:rsidRPr="00253C6F">
        <w:rPr>
          <w:rFonts w:ascii="Times New Roman" w:eastAsia="Times New Roman" w:hAnsi="Times New Roman" w:cs="Times New Roman"/>
          <w:lang w:val="en-US"/>
        </w:rPr>
        <w:t xml:space="preserve">At </w:t>
      </w:r>
      <w:r w:rsidR="001E1139">
        <w:rPr>
          <w:rFonts w:ascii="Times New Roman" w:eastAsia="Times New Roman" w:hAnsi="Times New Roman" w:cs="Times New Roman"/>
          <w:lang w:val="en-US"/>
        </w:rPr>
        <w:t>December 31</w:t>
      </w:r>
      <w:r w:rsidR="00D140F1">
        <w:rPr>
          <w:rFonts w:ascii="Times New Roman" w:eastAsia="Times New Roman" w:hAnsi="Times New Roman" w:cs="Times New Roman"/>
          <w:lang w:val="en-US"/>
        </w:rPr>
        <w:t>, 2015</w:t>
      </w:r>
      <w:r w:rsidRPr="00253C6F">
        <w:rPr>
          <w:rFonts w:ascii="Times New Roman" w:eastAsia="Times New Roman" w:hAnsi="Times New Roman" w:cs="Times New Roman"/>
          <w:lang w:val="en-US"/>
        </w:rPr>
        <w:t>, the Company had no material off-balance sheet arrangements such as guarantee contracts, contingent interest in assets transferred to an entity, derivative instruments obligations or any other obligations that trigger financing, liquidity, market or credit risk to the Company.</w:t>
      </w:r>
    </w:p>
    <w:p w:rsidR="00253C6F" w:rsidRDefault="00253C6F" w:rsidP="00253C6F">
      <w:pPr>
        <w:spacing w:after="0" w:line="240" w:lineRule="auto"/>
        <w:ind w:right="-360"/>
        <w:jc w:val="both"/>
        <w:rPr>
          <w:rFonts w:ascii="Times New Roman" w:eastAsia="Times New Roman" w:hAnsi="Times New Roman" w:cs="Times New Roman"/>
          <w:sz w:val="12"/>
          <w:szCs w:val="12"/>
          <w:lang w:val="en-GB"/>
        </w:rPr>
      </w:pPr>
    </w:p>
    <w:p w:rsidR="00266CFF" w:rsidRPr="00266CFF" w:rsidRDefault="00266CFF" w:rsidP="00253C6F">
      <w:pPr>
        <w:spacing w:after="0" w:line="240" w:lineRule="auto"/>
        <w:ind w:right="-360"/>
        <w:jc w:val="both"/>
        <w:rPr>
          <w:rFonts w:ascii="Times New Roman" w:eastAsia="Times New Roman" w:hAnsi="Times New Roman" w:cs="Times New Roman"/>
          <w:sz w:val="12"/>
          <w:szCs w:val="12"/>
          <w:lang w:val="en-GB"/>
        </w:rPr>
      </w:pPr>
    </w:p>
    <w:p w:rsidR="00253C6F" w:rsidRPr="00E62380" w:rsidRDefault="00E64F70" w:rsidP="006A3477">
      <w:pPr>
        <w:keepNext/>
        <w:keepLines/>
        <w:spacing w:after="0" w:line="240" w:lineRule="auto"/>
        <w:ind w:right="-360"/>
        <w:jc w:val="both"/>
        <w:rPr>
          <w:rFonts w:ascii="Times New Roman" w:eastAsia="Times New Roman" w:hAnsi="Times New Roman" w:cs="Times New Roman"/>
          <w:color w:val="FF0000"/>
        </w:rPr>
      </w:pPr>
      <w:r>
        <w:rPr>
          <w:rFonts w:ascii="Times New Roman" w:eastAsia="Times New Roman" w:hAnsi="Times New Roman" w:cs="Times New Roman"/>
        </w:rPr>
        <w:t>1.7</w:t>
      </w:r>
      <w:r w:rsidR="00253C6F" w:rsidRPr="00253C6F">
        <w:rPr>
          <w:rFonts w:ascii="Times New Roman" w:eastAsia="Times New Roman" w:hAnsi="Times New Roman" w:cs="Times New Roman"/>
        </w:rPr>
        <w:tab/>
      </w:r>
      <w:r w:rsidR="00253C6F" w:rsidRPr="00E62380">
        <w:rPr>
          <w:rFonts w:ascii="Times New Roman" w:eastAsia="Times New Roman" w:hAnsi="Times New Roman" w:cs="Times New Roman"/>
          <w:b/>
          <w:bCs/>
          <w:u w:val="single"/>
        </w:rPr>
        <w:t>Related Party Transactions</w:t>
      </w:r>
    </w:p>
    <w:p w:rsidR="00253C6F" w:rsidRPr="00E62380" w:rsidRDefault="00253C6F" w:rsidP="006A3477">
      <w:pPr>
        <w:keepNext/>
        <w:keepLines/>
        <w:widowControl w:val="0"/>
        <w:autoSpaceDE w:val="0"/>
        <w:autoSpaceDN w:val="0"/>
        <w:adjustRightInd w:val="0"/>
        <w:spacing w:after="0" w:line="240" w:lineRule="auto"/>
        <w:ind w:left="709" w:right="-360"/>
        <w:jc w:val="both"/>
        <w:rPr>
          <w:rFonts w:ascii="Times New Roman" w:eastAsia="Times New Roman" w:hAnsi="Times New Roman" w:cs="Times New Roman"/>
          <w:lang w:val="en-US"/>
        </w:rPr>
      </w:pPr>
    </w:p>
    <w:p w:rsidR="00E62380" w:rsidRPr="00E62380" w:rsidRDefault="00E62380" w:rsidP="00E62380">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lang w:val="en-GB"/>
        </w:rPr>
      </w:pPr>
      <w:r w:rsidRPr="00E62380">
        <w:rPr>
          <w:rFonts w:ascii="Times New Roman" w:eastAsia="Times New Roman" w:hAnsi="Times New Roman" w:cs="Times New Roman"/>
          <w:lang w:val="en-GB"/>
        </w:rPr>
        <w:t>The Company incurred the following charges from directors and former directors of the Company, companies controlled by directors of the Company or companies with common directors for management and consulting fees and directors fees:</w:t>
      </w:r>
    </w:p>
    <w:p w:rsidR="00CE6FF9" w:rsidRPr="00E62380" w:rsidRDefault="00CE6FF9" w:rsidP="00E62380">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29"/>
        <w:jc w:val="both"/>
        <w:rPr>
          <w:rFonts w:ascii="Times New Roman" w:eastAsia="Times New Roman" w:hAnsi="Times New Roman" w:cs="Times New Roman"/>
          <w:lang w:val="en-GB"/>
        </w:rPr>
      </w:pPr>
    </w:p>
    <w:tbl>
      <w:tblPr>
        <w:tblW w:w="7830" w:type="dxa"/>
        <w:tblInd w:w="828" w:type="dxa"/>
        <w:tblLook w:val="01E0" w:firstRow="1" w:lastRow="1" w:firstColumn="1" w:lastColumn="1" w:noHBand="0" w:noVBand="0"/>
      </w:tblPr>
      <w:tblGrid>
        <w:gridCol w:w="4230"/>
        <w:gridCol w:w="1800"/>
        <w:gridCol w:w="1800"/>
      </w:tblGrid>
      <w:tr w:rsidR="00CE6FF9" w:rsidRPr="005D5C86" w:rsidTr="00CE6FF9">
        <w:tc>
          <w:tcPr>
            <w:tcW w:w="423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p>
        </w:tc>
        <w:tc>
          <w:tcPr>
            <w:tcW w:w="3600" w:type="dxa"/>
            <w:gridSpan w:val="2"/>
          </w:tcPr>
          <w:p w:rsidR="00CE6FF9" w:rsidRPr="00CE6FF9" w:rsidRDefault="001E113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Pr>
                <w:rFonts w:ascii="Times New Roman" w:eastAsia="Times New Roman" w:hAnsi="Times New Roman" w:cs="Times New Roman"/>
                <w:lang w:val="en-GB"/>
              </w:rPr>
              <w:t>Six</w:t>
            </w:r>
            <w:r w:rsidR="00CE6FF9" w:rsidRPr="00CE6FF9">
              <w:rPr>
                <w:rFonts w:ascii="Times New Roman" w:eastAsia="Times New Roman" w:hAnsi="Times New Roman" w:cs="Times New Roman"/>
                <w:lang w:val="en-GB"/>
              </w:rPr>
              <w:t xml:space="preserve"> months ended </w:t>
            </w:r>
          </w:p>
          <w:p w:rsidR="00CE6FF9" w:rsidRPr="00CE6FF9" w:rsidRDefault="001E113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Pr>
                <w:rFonts w:ascii="Times New Roman" w:eastAsia="Times New Roman" w:hAnsi="Times New Roman" w:cs="Times New Roman"/>
                <w:lang w:val="en-GB"/>
              </w:rPr>
              <w:t>December 31</w:t>
            </w:r>
            <w:r w:rsidR="00CE6FF9" w:rsidRPr="00CE6FF9">
              <w:rPr>
                <w:rFonts w:ascii="Times New Roman" w:eastAsia="Times New Roman" w:hAnsi="Times New Roman" w:cs="Times New Roman"/>
                <w:lang w:val="en-GB"/>
              </w:rPr>
              <w:t>,</w:t>
            </w:r>
          </w:p>
        </w:tc>
      </w:tr>
      <w:tr w:rsidR="00CE6FF9" w:rsidRPr="005D5C86" w:rsidTr="00CE6FF9">
        <w:tc>
          <w:tcPr>
            <w:tcW w:w="423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p>
        </w:tc>
        <w:tc>
          <w:tcPr>
            <w:tcW w:w="1800" w:type="dxa"/>
            <w:tcBorders>
              <w:bottom w:val="single" w:sz="4" w:space="0" w:color="auto"/>
            </w:tcBorders>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b/>
                <w:lang w:val="en-GB"/>
              </w:rPr>
            </w:pPr>
            <w:r w:rsidRPr="00CE6FF9">
              <w:rPr>
                <w:rFonts w:ascii="Times New Roman" w:eastAsia="Times New Roman" w:hAnsi="Times New Roman" w:cs="Times New Roman"/>
                <w:b/>
                <w:lang w:val="en-GB"/>
              </w:rPr>
              <w:t>2015</w:t>
            </w:r>
          </w:p>
        </w:tc>
        <w:tc>
          <w:tcPr>
            <w:tcW w:w="1800" w:type="dxa"/>
            <w:tcBorders>
              <w:bottom w:val="single" w:sz="4" w:space="0" w:color="auto"/>
            </w:tcBorders>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sidRPr="00CE6FF9">
              <w:rPr>
                <w:rFonts w:ascii="Times New Roman" w:eastAsia="Times New Roman" w:hAnsi="Times New Roman" w:cs="Times New Roman"/>
                <w:lang w:val="en-GB"/>
              </w:rPr>
              <w:t>2014</w:t>
            </w:r>
          </w:p>
        </w:tc>
      </w:tr>
      <w:tr w:rsidR="002360C4" w:rsidRPr="005D5C86" w:rsidTr="00CE6FF9">
        <w:tc>
          <w:tcPr>
            <w:tcW w:w="4230" w:type="dxa"/>
          </w:tcPr>
          <w:p w:rsidR="002360C4" w:rsidRPr="00CE6FF9" w:rsidRDefault="002360C4"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William MacLean (CEO)</w:t>
            </w:r>
          </w:p>
        </w:tc>
        <w:tc>
          <w:tcPr>
            <w:tcW w:w="1800" w:type="dxa"/>
            <w:tcBorders>
              <w:top w:val="single" w:sz="4" w:space="0" w:color="auto"/>
            </w:tcBorders>
          </w:tcPr>
          <w:p w:rsidR="002360C4" w:rsidRPr="002360C4" w:rsidRDefault="002360C4" w:rsidP="001162F0">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b/>
                <w:lang w:val="en-GB"/>
              </w:rPr>
            </w:pPr>
            <w:r w:rsidRPr="002360C4">
              <w:rPr>
                <w:rFonts w:ascii="Times New Roman" w:eastAsia="Times New Roman" w:hAnsi="Times New Roman" w:cs="Times New Roman"/>
                <w:b/>
                <w:lang w:val="en-GB"/>
              </w:rPr>
              <w:t>$            60,000</w:t>
            </w:r>
          </w:p>
        </w:tc>
        <w:tc>
          <w:tcPr>
            <w:tcW w:w="1800" w:type="dxa"/>
            <w:tcBorders>
              <w:top w:val="single" w:sz="4" w:space="0" w:color="auto"/>
            </w:tcBorders>
          </w:tcPr>
          <w:p w:rsidR="002360C4" w:rsidRPr="00CE6FF9" w:rsidRDefault="002360C4" w:rsidP="001E1139">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60,000</w:t>
            </w:r>
          </w:p>
        </w:tc>
      </w:tr>
      <w:tr w:rsidR="002360C4" w:rsidRPr="005D5C86" w:rsidTr="00CE6FF9">
        <w:tc>
          <w:tcPr>
            <w:tcW w:w="4230" w:type="dxa"/>
          </w:tcPr>
          <w:p w:rsidR="002360C4" w:rsidRPr="00CE6FF9" w:rsidRDefault="002360C4"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Nash Meghji (director, former CEO)</w:t>
            </w:r>
          </w:p>
        </w:tc>
        <w:tc>
          <w:tcPr>
            <w:tcW w:w="1800" w:type="dxa"/>
          </w:tcPr>
          <w:p w:rsidR="002360C4" w:rsidRPr="002360C4" w:rsidRDefault="002360C4" w:rsidP="001162F0">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b/>
                <w:lang w:val="en-GB"/>
              </w:rPr>
            </w:pPr>
            <w:r w:rsidRPr="002360C4">
              <w:rPr>
                <w:rFonts w:ascii="Times New Roman" w:eastAsia="Times New Roman" w:hAnsi="Times New Roman" w:cs="Times New Roman"/>
                <w:b/>
                <w:lang w:val="en-GB"/>
              </w:rPr>
              <w:t>$              6,000</w:t>
            </w:r>
          </w:p>
        </w:tc>
        <w:tc>
          <w:tcPr>
            <w:tcW w:w="1800" w:type="dxa"/>
          </w:tcPr>
          <w:p w:rsidR="002360C4" w:rsidRPr="00CE6FF9" w:rsidRDefault="002360C4" w:rsidP="001E1139">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6,000</w:t>
            </w:r>
          </w:p>
        </w:tc>
      </w:tr>
      <w:tr w:rsidR="002360C4" w:rsidRPr="005D5C86" w:rsidTr="00CE6FF9">
        <w:tc>
          <w:tcPr>
            <w:tcW w:w="4230" w:type="dxa"/>
          </w:tcPr>
          <w:p w:rsidR="002360C4" w:rsidRPr="00CE6FF9" w:rsidRDefault="002360C4"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Stephen Pearce (CFO, director)</w:t>
            </w:r>
          </w:p>
        </w:tc>
        <w:tc>
          <w:tcPr>
            <w:tcW w:w="1800" w:type="dxa"/>
          </w:tcPr>
          <w:p w:rsidR="002360C4" w:rsidRPr="002360C4" w:rsidRDefault="002360C4" w:rsidP="001162F0">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b/>
                <w:lang w:val="en-GB"/>
              </w:rPr>
            </w:pPr>
            <w:r w:rsidRPr="002360C4">
              <w:rPr>
                <w:rFonts w:ascii="Times New Roman" w:eastAsia="Times New Roman" w:hAnsi="Times New Roman" w:cs="Times New Roman"/>
                <w:b/>
                <w:lang w:val="en-GB"/>
              </w:rPr>
              <w:t>$            12,000</w:t>
            </w:r>
          </w:p>
        </w:tc>
        <w:tc>
          <w:tcPr>
            <w:tcW w:w="1800" w:type="dxa"/>
          </w:tcPr>
          <w:p w:rsidR="002360C4" w:rsidRPr="00CE6FF9" w:rsidRDefault="002360C4" w:rsidP="001E1139">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lang w:val="en-GB"/>
              </w:rPr>
            </w:pPr>
            <w:r w:rsidRPr="00CE6FF9">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12,000</w:t>
            </w:r>
          </w:p>
        </w:tc>
      </w:tr>
      <w:tr w:rsidR="002360C4" w:rsidRPr="005D5C86" w:rsidTr="00CE6FF9">
        <w:tc>
          <w:tcPr>
            <w:tcW w:w="4230" w:type="dxa"/>
          </w:tcPr>
          <w:p w:rsidR="002360C4" w:rsidRPr="00CE6FF9" w:rsidRDefault="002360C4"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Donna Baillie (director)</w:t>
            </w:r>
          </w:p>
        </w:tc>
        <w:tc>
          <w:tcPr>
            <w:tcW w:w="1800" w:type="dxa"/>
          </w:tcPr>
          <w:p w:rsidR="002360C4" w:rsidRPr="002360C4" w:rsidRDefault="002360C4" w:rsidP="001162F0">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b/>
                <w:lang w:val="en-GB"/>
              </w:rPr>
            </w:pPr>
            <w:r w:rsidRPr="002360C4">
              <w:rPr>
                <w:rFonts w:ascii="Times New Roman" w:eastAsia="Times New Roman" w:hAnsi="Times New Roman" w:cs="Times New Roman"/>
                <w:b/>
                <w:lang w:val="en-GB"/>
              </w:rPr>
              <w:t>$              6,000</w:t>
            </w:r>
          </w:p>
        </w:tc>
        <w:tc>
          <w:tcPr>
            <w:tcW w:w="1800" w:type="dxa"/>
          </w:tcPr>
          <w:p w:rsidR="002360C4" w:rsidRPr="00CE6FF9" w:rsidRDefault="002360C4" w:rsidP="001E1139">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72"/>
              <w:jc w:val="right"/>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6,000</w:t>
            </w:r>
          </w:p>
        </w:tc>
      </w:tr>
      <w:tr w:rsidR="002360C4" w:rsidRPr="005D5C86" w:rsidTr="00CE6FF9">
        <w:tc>
          <w:tcPr>
            <w:tcW w:w="4230" w:type="dxa"/>
          </w:tcPr>
          <w:p w:rsidR="002360C4" w:rsidRPr="00CE6FF9" w:rsidRDefault="002360C4"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p>
        </w:tc>
        <w:tc>
          <w:tcPr>
            <w:tcW w:w="1800" w:type="dxa"/>
            <w:tcBorders>
              <w:top w:val="single" w:sz="4" w:space="0" w:color="auto"/>
              <w:bottom w:val="single" w:sz="18" w:space="0" w:color="auto"/>
            </w:tcBorders>
          </w:tcPr>
          <w:p w:rsidR="002360C4" w:rsidRPr="002360C4" w:rsidRDefault="002360C4" w:rsidP="001162F0">
            <w:pPr>
              <w:tabs>
                <w:tab w:val="left" w:pos="-108"/>
                <w:tab w:val="left" w:pos="1080"/>
              </w:tabs>
              <w:spacing w:after="0" w:line="240" w:lineRule="auto"/>
              <w:ind w:right="72"/>
              <w:jc w:val="right"/>
              <w:rPr>
                <w:rFonts w:ascii="Times New Roman" w:eastAsia="Times New Roman" w:hAnsi="Times New Roman" w:cs="Times New Roman"/>
                <w:b/>
                <w:lang w:val="en-GB"/>
              </w:rPr>
            </w:pPr>
            <w:r w:rsidRPr="002360C4">
              <w:rPr>
                <w:rFonts w:ascii="Times New Roman" w:eastAsia="Times New Roman" w:hAnsi="Times New Roman" w:cs="Times New Roman"/>
                <w:b/>
                <w:lang w:val="en-GB"/>
              </w:rPr>
              <w:t>$            84,000</w:t>
            </w:r>
          </w:p>
        </w:tc>
        <w:tc>
          <w:tcPr>
            <w:tcW w:w="1800" w:type="dxa"/>
            <w:tcBorders>
              <w:top w:val="single" w:sz="4" w:space="0" w:color="auto"/>
              <w:bottom w:val="single" w:sz="18" w:space="0" w:color="auto"/>
            </w:tcBorders>
          </w:tcPr>
          <w:p w:rsidR="002360C4" w:rsidRPr="00CE6FF9" w:rsidRDefault="002360C4" w:rsidP="001E1139">
            <w:pPr>
              <w:tabs>
                <w:tab w:val="left" w:pos="-108"/>
                <w:tab w:val="left" w:pos="1080"/>
              </w:tabs>
              <w:spacing w:after="0" w:line="240" w:lineRule="auto"/>
              <w:ind w:right="72"/>
              <w:jc w:val="right"/>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84,000</w:t>
            </w:r>
          </w:p>
        </w:tc>
      </w:tr>
    </w:tbl>
    <w:p w:rsidR="00E62380" w:rsidRPr="00E62380" w:rsidRDefault="00E62380" w:rsidP="00E62380">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86"/>
        <w:jc w:val="both"/>
        <w:rPr>
          <w:rFonts w:ascii="Times New Roman" w:eastAsia="Times New Roman" w:hAnsi="Times New Roman" w:cs="Times New Roman"/>
          <w:lang w:val="en-GB"/>
        </w:rPr>
      </w:pPr>
    </w:p>
    <w:p w:rsidR="00CE6FF9" w:rsidRPr="00CE6FF9" w:rsidRDefault="00CE6FF9" w:rsidP="00CE6FF9">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The Company had the following amounts due from directors and former directors of the Company, companies controlled by directors of the Company or companies with common directors for prepaid rent and expenses:</w:t>
      </w:r>
    </w:p>
    <w:tbl>
      <w:tblPr>
        <w:tblW w:w="7920" w:type="dxa"/>
        <w:tblInd w:w="828" w:type="dxa"/>
        <w:tblLook w:val="01E0" w:firstRow="1" w:lastRow="1" w:firstColumn="1" w:lastColumn="1" w:noHBand="0" w:noVBand="0"/>
      </w:tblPr>
      <w:tblGrid>
        <w:gridCol w:w="3420"/>
        <w:gridCol w:w="2520"/>
        <w:gridCol w:w="1980"/>
      </w:tblGrid>
      <w:tr w:rsidR="00CE6FF9" w:rsidRPr="00CE6FF9" w:rsidTr="00CE6FF9">
        <w:tc>
          <w:tcPr>
            <w:tcW w:w="342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bookmarkStart w:id="0" w:name="_GoBack"/>
            <w:bookmarkEnd w:id="0"/>
          </w:p>
        </w:tc>
        <w:tc>
          <w:tcPr>
            <w:tcW w:w="2520" w:type="dxa"/>
          </w:tcPr>
          <w:p w:rsidR="00CE6FF9" w:rsidRPr="00CE6FF9" w:rsidRDefault="001E1139" w:rsidP="001E1139">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b/>
                <w:lang w:val="en-GB"/>
              </w:rPr>
            </w:pPr>
            <w:r>
              <w:rPr>
                <w:rFonts w:ascii="Times New Roman" w:eastAsia="Times New Roman" w:hAnsi="Times New Roman" w:cs="Times New Roman"/>
                <w:b/>
                <w:lang w:val="en-GB"/>
              </w:rPr>
              <w:t>Six</w:t>
            </w:r>
            <w:r w:rsidR="00CE6FF9" w:rsidRPr="00CE6FF9">
              <w:rPr>
                <w:rFonts w:ascii="Times New Roman" w:eastAsia="Times New Roman" w:hAnsi="Times New Roman" w:cs="Times New Roman"/>
                <w:b/>
                <w:lang w:val="en-GB"/>
              </w:rPr>
              <w:t xml:space="preserve"> months ended </w:t>
            </w:r>
            <w:r>
              <w:rPr>
                <w:rFonts w:ascii="Times New Roman" w:eastAsia="Times New Roman" w:hAnsi="Times New Roman" w:cs="Times New Roman"/>
                <w:b/>
                <w:lang w:val="en-GB"/>
              </w:rPr>
              <w:t>December 31</w:t>
            </w:r>
            <w:r w:rsidR="00CE6FF9" w:rsidRPr="00CE6FF9">
              <w:rPr>
                <w:rFonts w:ascii="Times New Roman" w:eastAsia="Times New Roman" w:hAnsi="Times New Roman" w:cs="Times New Roman"/>
                <w:b/>
                <w:lang w:val="en-GB"/>
              </w:rPr>
              <w:t>, 2015</w:t>
            </w:r>
          </w:p>
        </w:tc>
        <w:tc>
          <w:tcPr>
            <w:tcW w:w="198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Year ended </w:t>
            </w:r>
          </w:p>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sidRPr="00CE6FF9">
              <w:rPr>
                <w:rFonts w:ascii="Times New Roman" w:eastAsia="Times New Roman" w:hAnsi="Times New Roman" w:cs="Times New Roman"/>
                <w:lang w:val="en-GB"/>
              </w:rPr>
              <w:t>June 30, 2015</w:t>
            </w:r>
          </w:p>
        </w:tc>
      </w:tr>
      <w:tr w:rsidR="00CE6FF9" w:rsidRPr="00CE6FF9" w:rsidTr="00CE6FF9">
        <w:tc>
          <w:tcPr>
            <w:tcW w:w="3420" w:type="dxa"/>
          </w:tcPr>
          <w:p w:rsidR="00CE6FF9" w:rsidRPr="00CE6FF9" w:rsidRDefault="00CE6FF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Flying A Petroleum Ltd.</w:t>
            </w:r>
          </w:p>
        </w:tc>
        <w:tc>
          <w:tcPr>
            <w:tcW w:w="2520" w:type="dxa"/>
            <w:tcBorders>
              <w:bottom w:val="single" w:sz="4" w:space="0" w:color="auto"/>
            </w:tcBorders>
          </w:tcPr>
          <w:p w:rsidR="00CE6FF9" w:rsidRPr="00CE6FF9" w:rsidRDefault="00CE6FF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b/>
                <w:lang w:val="en-GB"/>
              </w:rPr>
            </w:pPr>
            <w:r w:rsidRPr="00CE6FF9">
              <w:rPr>
                <w:rFonts w:ascii="Times New Roman" w:eastAsia="Times New Roman" w:hAnsi="Times New Roman" w:cs="Times New Roman"/>
                <w:b/>
                <w:lang w:val="en-GB"/>
              </w:rPr>
              <w:t xml:space="preserve">$        </w:t>
            </w:r>
            <w:r>
              <w:rPr>
                <w:rFonts w:ascii="Times New Roman" w:eastAsia="Times New Roman" w:hAnsi="Times New Roman" w:cs="Times New Roman"/>
                <w:b/>
                <w:lang w:val="en-GB"/>
              </w:rPr>
              <w:t xml:space="preserve"> </w:t>
            </w:r>
            <w:r w:rsidRPr="00CE6FF9">
              <w:rPr>
                <w:rFonts w:ascii="Times New Roman" w:eastAsia="Times New Roman" w:hAnsi="Times New Roman" w:cs="Times New Roman"/>
                <w:b/>
                <w:lang w:val="en-GB"/>
              </w:rPr>
              <w:t xml:space="preserve">    (6,720)</w:t>
            </w:r>
          </w:p>
        </w:tc>
        <w:tc>
          <w:tcPr>
            <w:tcW w:w="1980" w:type="dxa"/>
            <w:tcBorders>
              <w:bottom w:val="single" w:sz="4" w:space="0" w:color="auto"/>
            </w:tcBorders>
          </w:tcPr>
          <w:p w:rsidR="00CE6FF9" w:rsidRPr="00CE6FF9" w:rsidRDefault="00CE6FF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(6,720)</w:t>
            </w:r>
          </w:p>
        </w:tc>
      </w:tr>
      <w:tr w:rsidR="00CE6FF9" w:rsidRPr="00CE6FF9" w:rsidTr="00CE6FF9">
        <w:tc>
          <w:tcPr>
            <w:tcW w:w="3420" w:type="dxa"/>
          </w:tcPr>
          <w:p w:rsidR="00CE6FF9" w:rsidRPr="00CE6FF9" w:rsidRDefault="00CE6FF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p>
        </w:tc>
        <w:tc>
          <w:tcPr>
            <w:tcW w:w="2520" w:type="dxa"/>
            <w:tcBorders>
              <w:top w:val="single" w:sz="4" w:space="0" w:color="auto"/>
              <w:bottom w:val="single" w:sz="18" w:space="0" w:color="auto"/>
            </w:tcBorders>
          </w:tcPr>
          <w:p w:rsidR="00CE6FF9" w:rsidRPr="00CE6FF9" w:rsidRDefault="00CE6FF9" w:rsidP="007D3D8A">
            <w:pPr>
              <w:tabs>
                <w:tab w:val="left" w:pos="-108"/>
                <w:tab w:val="left" w:pos="1080"/>
              </w:tabs>
              <w:spacing w:after="0" w:line="240" w:lineRule="auto"/>
              <w:ind w:right="-29"/>
              <w:jc w:val="both"/>
              <w:rPr>
                <w:rFonts w:ascii="Times New Roman" w:eastAsia="Times New Roman" w:hAnsi="Times New Roman" w:cs="Times New Roman"/>
                <w:b/>
                <w:lang w:val="en-GB"/>
              </w:rPr>
            </w:pPr>
            <w:r w:rsidRPr="00CE6FF9">
              <w:rPr>
                <w:rFonts w:ascii="Times New Roman" w:eastAsia="Times New Roman" w:hAnsi="Times New Roman" w:cs="Times New Roman"/>
                <w:b/>
                <w:lang w:val="en-GB"/>
              </w:rPr>
              <w:t>$            (6,720)</w:t>
            </w:r>
          </w:p>
        </w:tc>
        <w:tc>
          <w:tcPr>
            <w:tcW w:w="1980" w:type="dxa"/>
            <w:tcBorders>
              <w:top w:val="single" w:sz="4" w:space="0" w:color="auto"/>
              <w:bottom w:val="single" w:sz="18" w:space="0" w:color="auto"/>
            </w:tcBorders>
          </w:tcPr>
          <w:p w:rsidR="00CE6FF9" w:rsidRPr="00CE6FF9" w:rsidRDefault="00CE6FF9" w:rsidP="00CE6FF9">
            <w:pPr>
              <w:tabs>
                <w:tab w:val="left" w:pos="-108"/>
                <w:tab w:val="left" w:pos="108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           (6,720)</w:t>
            </w:r>
          </w:p>
        </w:tc>
      </w:tr>
    </w:tbl>
    <w:p w:rsidR="00253C6F" w:rsidRPr="00CE6FF9" w:rsidRDefault="00253C6F" w:rsidP="00253C6F">
      <w:pPr>
        <w:tabs>
          <w:tab w:val="left" w:pos="720"/>
          <w:tab w:val="left" w:pos="1080"/>
        </w:tabs>
        <w:spacing w:after="0" w:line="240" w:lineRule="auto"/>
        <w:ind w:left="720" w:right="-29"/>
        <w:jc w:val="both"/>
        <w:rPr>
          <w:rFonts w:ascii="Times New Roman" w:eastAsia="Times New Roman" w:hAnsi="Times New Roman" w:cs="Times New Roman"/>
          <w:lang w:val="en-GB"/>
        </w:rPr>
      </w:pPr>
    </w:p>
    <w:p w:rsidR="00CE6FF9" w:rsidRPr="00CE6FF9" w:rsidRDefault="00CE6FF9" w:rsidP="00CE6FF9">
      <w:pPr>
        <w:tabs>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720" w:right="86"/>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The Company had the following amounts due to directors and former directors of the Company, companies controlled by directors of the Company or companies with common directors:</w:t>
      </w:r>
    </w:p>
    <w:tbl>
      <w:tblPr>
        <w:tblW w:w="8280" w:type="dxa"/>
        <w:tblInd w:w="828" w:type="dxa"/>
        <w:tblLook w:val="01E0" w:firstRow="1" w:lastRow="1" w:firstColumn="1" w:lastColumn="1" w:noHBand="0" w:noVBand="0"/>
      </w:tblPr>
      <w:tblGrid>
        <w:gridCol w:w="3870"/>
        <w:gridCol w:w="2430"/>
        <w:gridCol w:w="1980"/>
      </w:tblGrid>
      <w:tr w:rsidR="00CE6FF9" w:rsidRPr="00CE6FF9" w:rsidTr="00CE6FF9">
        <w:tc>
          <w:tcPr>
            <w:tcW w:w="387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p>
        </w:tc>
        <w:tc>
          <w:tcPr>
            <w:tcW w:w="2430" w:type="dxa"/>
          </w:tcPr>
          <w:p w:rsidR="00CE6FF9" w:rsidRPr="00CE6FF9" w:rsidRDefault="001E1139" w:rsidP="001E1139">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b/>
                <w:lang w:val="en-GB"/>
              </w:rPr>
            </w:pPr>
            <w:r>
              <w:rPr>
                <w:rFonts w:ascii="Times New Roman" w:eastAsia="Times New Roman" w:hAnsi="Times New Roman" w:cs="Times New Roman"/>
                <w:b/>
                <w:lang w:val="en-GB"/>
              </w:rPr>
              <w:t>Six</w:t>
            </w:r>
            <w:r w:rsidR="00CE6FF9" w:rsidRPr="00CE6FF9">
              <w:rPr>
                <w:rFonts w:ascii="Times New Roman" w:eastAsia="Times New Roman" w:hAnsi="Times New Roman" w:cs="Times New Roman"/>
                <w:b/>
                <w:lang w:val="en-GB"/>
              </w:rPr>
              <w:t xml:space="preserve"> months ended </w:t>
            </w:r>
            <w:r>
              <w:rPr>
                <w:rFonts w:ascii="Times New Roman" w:eastAsia="Times New Roman" w:hAnsi="Times New Roman" w:cs="Times New Roman"/>
                <w:b/>
                <w:lang w:val="en-GB"/>
              </w:rPr>
              <w:t>December 31</w:t>
            </w:r>
            <w:r w:rsidR="00CE6FF9" w:rsidRPr="00CE6FF9">
              <w:rPr>
                <w:rFonts w:ascii="Times New Roman" w:eastAsia="Times New Roman" w:hAnsi="Times New Roman" w:cs="Times New Roman"/>
                <w:b/>
                <w:lang w:val="en-GB"/>
              </w:rPr>
              <w:t>, 2015</w:t>
            </w:r>
          </w:p>
        </w:tc>
        <w:tc>
          <w:tcPr>
            <w:tcW w:w="1980" w:type="dxa"/>
          </w:tcPr>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sidRPr="00CE6FF9">
              <w:rPr>
                <w:rFonts w:ascii="Times New Roman" w:eastAsia="Times New Roman" w:hAnsi="Times New Roman" w:cs="Times New Roman"/>
                <w:lang w:val="en-GB"/>
              </w:rPr>
              <w:t>Year ended</w:t>
            </w:r>
          </w:p>
          <w:p w:rsidR="00CE6FF9" w:rsidRPr="00CE6FF9" w:rsidRDefault="00CE6FF9" w:rsidP="007D3D8A">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Times New Roman" w:eastAsia="Times New Roman" w:hAnsi="Times New Roman" w:cs="Times New Roman"/>
                <w:lang w:val="en-GB"/>
              </w:rPr>
            </w:pPr>
            <w:r w:rsidRPr="00CE6FF9">
              <w:rPr>
                <w:rFonts w:ascii="Times New Roman" w:eastAsia="Times New Roman" w:hAnsi="Times New Roman" w:cs="Times New Roman"/>
                <w:lang w:val="en-GB"/>
              </w:rPr>
              <w:t>June 30, 2015</w:t>
            </w:r>
          </w:p>
        </w:tc>
      </w:tr>
      <w:tr w:rsidR="00663C49" w:rsidRPr="00CE6FF9" w:rsidTr="00CE6FF9">
        <w:tc>
          <w:tcPr>
            <w:tcW w:w="3870" w:type="dxa"/>
          </w:tcPr>
          <w:p w:rsidR="00663C49" w:rsidRPr="00CE6FF9" w:rsidRDefault="00663C4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William MacLean (CEO)</w:t>
            </w:r>
          </w:p>
        </w:tc>
        <w:tc>
          <w:tcPr>
            <w:tcW w:w="2430" w:type="dxa"/>
            <w:tcBorders>
              <w:top w:val="single" w:sz="4" w:space="0" w:color="auto"/>
            </w:tcBorders>
          </w:tcPr>
          <w:p w:rsidR="00663C49" w:rsidRPr="004E65A9" w:rsidRDefault="00663C49" w:rsidP="001162F0">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28,500</w:t>
            </w:r>
          </w:p>
        </w:tc>
        <w:tc>
          <w:tcPr>
            <w:tcW w:w="1980" w:type="dxa"/>
            <w:tcBorders>
              <w:top w:val="single" w:sz="4" w:space="0" w:color="auto"/>
            </w:tcBorders>
          </w:tcPr>
          <w:p w:rsidR="00663C49" w:rsidRPr="00CE6FF9" w:rsidRDefault="00663C4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26,000</w:t>
            </w:r>
          </w:p>
        </w:tc>
      </w:tr>
      <w:tr w:rsidR="00663C49" w:rsidRPr="00CE6FF9" w:rsidTr="00CE6FF9">
        <w:tc>
          <w:tcPr>
            <w:tcW w:w="3870" w:type="dxa"/>
          </w:tcPr>
          <w:p w:rsidR="00663C49" w:rsidRPr="00CE6FF9" w:rsidRDefault="00663C4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Stephen Pearce (CFO, director)</w:t>
            </w:r>
          </w:p>
        </w:tc>
        <w:tc>
          <w:tcPr>
            <w:tcW w:w="2430" w:type="dxa"/>
          </w:tcPr>
          <w:p w:rsidR="00663C49" w:rsidRPr="004E65A9" w:rsidRDefault="00663C49" w:rsidP="001162F0">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13,939</w:t>
            </w:r>
          </w:p>
        </w:tc>
        <w:tc>
          <w:tcPr>
            <w:tcW w:w="1980" w:type="dxa"/>
          </w:tcPr>
          <w:p w:rsidR="00663C49" w:rsidRPr="00CE6FF9" w:rsidRDefault="00663C4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983</w:t>
            </w:r>
          </w:p>
        </w:tc>
      </w:tr>
      <w:tr w:rsidR="00663C49" w:rsidRPr="00CE6FF9" w:rsidTr="00CE6FF9">
        <w:tc>
          <w:tcPr>
            <w:tcW w:w="3870" w:type="dxa"/>
          </w:tcPr>
          <w:p w:rsidR="00663C49" w:rsidRPr="00CE6FF9" w:rsidRDefault="00663C4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Nash Meghji (director, former CEO)</w:t>
            </w:r>
          </w:p>
        </w:tc>
        <w:tc>
          <w:tcPr>
            <w:tcW w:w="2430" w:type="dxa"/>
          </w:tcPr>
          <w:p w:rsidR="00663C49" w:rsidRPr="004E65A9" w:rsidRDefault="00663C49" w:rsidP="001162F0">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18,000</w:t>
            </w:r>
          </w:p>
        </w:tc>
        <w:tc>
          <w:tcPr>
            <w:tcW w:w="1980" w:type="dxa"/>
          </w:tcPr>
          <w:p w:rsidR="00663C49" w:rsidRPr="00CE6FF9" w:rsidRDefault="00663C4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12,000</w:t>
            </w:r>
          </w:p>
        </w:tc>
      </w:tr>
      <w:tr w:rsidR="00663C49" w:rsidRPr="00CE6FF9" w:rsidTr="00CE6FF9">
        <w:tc>
          <w:tcPr>
            <w:tcW w:w="3870" w:type="dxa"/>
          </w:tcPr>
          <w:p w:rsidR="00663C49" w:rsidRPr="00CE6FF9" w:rsidRDefault="00663C4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Donna Baillie (director)</w:t>
            </w:r>
          </w:p>
        </w:tc>
        <w:tc>
          <w:tcPr>
            <w:tcW w:w="2430" w:type="dxa"/>
          </w:tcPr>
          <w:p w:rsidR="00663C49" w:rsidRPr="004E65A9" w:rsidRDefault="00663C49" w:rsidP="001162F0">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18,000</w:t>
            </w:r>
          </w:p>
        </w:tc>
        <w:tc>
          <w:tcPr>
            <w:tcW w:w="1980" w:type="dxa"/>
          </w:tcPr>
          <w:p w:rsidR="00663C49" w:rsidRPr="00CE6FF9" w:rsidRDefault="00663C49" w:rsidP="007D3D8A">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12,000</w:t>
            </w:r>
          </w:p>
        </w:tc>
      </w:tr>
      <w:tr w:rsidR="00663C49" w:rsidRPr="00CE6FF9" w:rsidTr="00CE6FF9">
        <w:tc>
          <w:tcPr>
            <w:tcW w:w="3870" w:type="dxa"/>
          </w:tcPr>
          <w:p w:rsidR="00663C49" w:rsidRPr="001E1139" w:rsidRDefault="00663C49" w:rsidP="007D3D8A">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Times New Roman" w:eastAsia="Times New Roman" w:hAnsi="Times New Roman" w:cs="Times New Roman"/>
                <w:highlight w:val="yellow"/>
                <w:lang w:val="en-GB"/>
              </w:rPr>
            </w:pPr>
          </w:p>
        </w:tc>
        <w:tc>
          <w:tcPr>
            <w:tcW w:w="2430" w:type="dxa"/>
            <w:tcBorders>
              <w:top w:val="single" w:sz="4" w:space="0" w:color="auto"/>
              <w:bottom w:val="single" w:sz="18" w:space="0" w:color="auto"/>
            </w:tcBorders>
          </w:tcPr>
          <w:p w:rsidR="00663C49" w:rsidRPr="004E65A9" w:rsidRDefault="00663C49" w:rsidP="001162F0">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78,439</w:t>
            </w:r>
          </w:p>
        </w:tc>
        <w:tc>
          <w:tcPr>
            <w:tcW w:w="1980" w:type="dxa"/>
            <w:tcBorders>
              <w:top w:val="single" w:sz="4" w:space="0" w:color="auto"/>
              <w:bottom w:val="single" w:sz="18" w:space="0" w:color="auto"/>
            </w:tcBorders>
          </w:tcPr>
          <w:p w:rsidR="00663C49" w:rsidRPr="00CE6FF9" w:rsidRDefault="00663C49" w:rsidP="00EC3ED6">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               </w:t>
            </w:r>
            <w:r>
              <w:rPr>
                <w:rFonts w:ascii="Times New Roman" w:eastAsia="Times New Roman" w:hAnsi="Times New Roman" w:cs="Times New Roman"/>
                <w:lang w:val="en-GB"/>
              </w:rPr>
              <w:t>50,983</w:t>
            </w:r>
          </w:p>
        </w:tc>
      </w:tr>
    </w:tbl>
    <w:p w:rsidR="00CE6FF9" w:rsidRPr="00CE6FF9" w:rsidRDefault="00CE6FF9" w:rsidP="00CE6FF9">
      <w:pPr>
        <w:tabs>
          <w:tab w:val="left" w:pos="360"/>
          <w:tab w:val="left" w:pos="720"/>
          <w:tab w:val="left" w:pos="1080"/>
        </w:tabs>
        <w:spacing w:after="0" w:line="240" w:lineRule="auto"/>
        <w:ind w:left="360" w:right="-29"/>
        <w:jc w:val="both"/>
        <w:rPr>
          <w:rFonts w:ascii="Times New Roman" w:eastAsia="Times New Roman" w:hAnsi="Times New Roman" w:cs="Times New Roman"/>
          <w:lang w:val="en-GB"/>
        </w:rPr>
      </w:pPr>
    </w:p>
    <w:p w:rsidR="00CE6FF9" w:rsidRPr="00CE6FF9" w:rsidRDefault="00CE6FF9" w:rsidP="00CE6FF9">
      <w:pPr>
        <w:tabs>
          <w:tab w:val="left" w:pos="360"/>
          <w:tab w:val="left" w:pos="720"/>
          <w:tab w:val="left" w:pos="1080"/>
        </w:tabs>
        <w:spacing w:after="0" w:line="240" w:lineRule="auto"/>
        <w:ind w:left="360"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 xml:space="preserve">During the </w:t>
      </w:r>
      <w:r w:rsidR="00AA2709">
        <w:rPr>
          <w:rFonts w:ascii="Times New Roman" w:eastAsia="Times New Roman" w:hAnsi="Times New Roman" w:cs="Times New Roman"/>
          <w:lang w:val="en-GB"/>
        </w:rPr>
        <w:t>six</w:t>
      </w:r>
      <w:r w:rsidRPr="00CE6FF9">
        <w:rPr>
          <w:rFonts w:ascii="Times New Roman" w:eastAsia="Times New Roman" w:hAnsi="Times New Roman" w:cs="Times New Roman"/>
          <w:lang w:val="en-GB"/>
        </w:rPr>
        <w:t xml:space="preserve"> months ended </w:t>
      </w:r>
      <w:r w:rsidR="00AA2709">
        <w:rPr>
          <w:rFonts w:ascii="Times New Roman" w:eastAsia="Times New Roman" w:hAnsi="Times New Roman" w:cs="Times New Roman"/>
          <w:lang w:val="en-GB"/>
        </w:rPr>
        <w:t>December 31</w:t>
      </w:r>
      <w:r w:rsidRPr="00CE6FF9">
        <w:rPr>
          <w:rFonts w:ascii="Times New Roman" w:eastAsia="Times New Roman" w:hAnsi="Times New Roman" w:cs="Times New Roman"/>
          <w:lang w:val="en-GB"/>
        </w:rPr>
        <w:t>, 2015, Nil stock options (2014: 2,000,000) were granted to directors and officers, with a fair value of $Nil (2014: $379,819).</w:t>
      </w:r>
    </w:p>
    <w:p w:rsidR="00CE6FF9" w:rsidRPr="00CE6FF9" w:rsidRDefault="00CE6FF9" w:rsidP="00CE6FF9">
      <w:pPr>
        <w:tabs>
          <w:tab w:val="left" w:pos="360"/>
          <w:tab w:val="left" w:pos="720"/>
          <w:tab w:val="left" w:pos="1080"/>
        </w:tabs>
        <w:spacing w:after="0" w:line="240" w:lineRule="auto"/>
        <w:ind w:right="-29"/>
        <w:jc w:val="both"/>
        <w:rPr>
          <w:rFonts w:ascii="Times New Roman" w:eastAsia="Times New Roman" w:hAnsi="Times New Roman" w:cs="Times New Roman"/>
          <w:lang w:val="en-GB"/>
        </w:rPr>
      </w:pPr>
    </w:p>
    <w:p w:rsidR="00CE6FF9" w:rsidRDefault="00CE6FF9" w:rsidP="00CE6FF9">
      <w:pPr>
        <w:tabs>
          <w:tab w:val="left" w:pos="360"/>
          <w:tab w:val="left" w:pos="720"/>
          <w:tab w:val="left" w:pos="1080"/>
        </w:tabs>
        <w:spacing w:after="0" w:line="240" w:lineRule="auto"/>
        <w:ind w:left="360" w:right="-29"/>
        <w:jc w:val="both"/>
        <w:rPr>
          <w:rFonts w:ascii="Times New Roman" w:eastAsia="Times New Roman" w:hAnsi="Times New Roman" w:cs="Times New Roman"/>
          <w:lang w:val="en-GB"/>
        </w:rPr>
      </w:pPr>
      <w:r w:rsidRPr="00CE6FF9">
        <w:rPr>
          <w:rFonts w:ascii="Times New Roman" w:eastAsia="Times New Roman" w:hAnsi="Times New Roman" w:cs="Times New Roman"/>
          <w:lang w:val="en-GB"/>
        </w:rPr>
        <w:t>Related party charges are measured by the exchange amount, which is the amount agreed upon by the transacting party. Amounts from and due to related parties are unsecured, non-interest bearing with no fixed terms of repayment, accordingly fair value cannot be readily determined.</w:t>
      </w:r>
    </w:p>
    <w:p w:rsidR="00CE6FF9" w:rsidRPr="00CE6FF9" w:rsidRDefault="00CE6FF9" w:rsidP="00CE6FF9">
      <w:pPr>
        <w:tabs>
          <w:tab w:val="left" w:pos="360"/>
          <w:tab w:val="left" w:pos="720"/>
          <w:tab w:val="left" w:pos="1080"/>
        </w:tabs>
        <w:spacing w:after="0" w:line="240" w:lineRule="auto"/>
        <w:ind w:left="360" w:right="-29"/>
        <w:jc w:val="both"/>
        <w:rPr>
          <w:rFonts w:ascii="Times New Roman" w:eastAsia="Times New Roman" w:hAnsi="Times New Roman" w:cs="Times New Roman"/>
          <w:lang w:val="en-GB"/>
        </w:rPr>
      </w:pPr>
    </w:p>
    <w:p w:rsidR="00253C6F" w:rsidRPr="00253C6F" w:rsidRDefault="007828F1" w:rsidP="00253C6F">
      <w:pPr>
        <w:keepNext/>
        <w:keepLines/>
        <w:spacing w:after="0" w:line="240" w:lineRule="auto"/>
        <w:rPr>
          <w:rFonts w:ascii="Times New Roman" w:eastAsia="Times New Roman" w:hAnsi="Times New Roman" w:cs="Times New Roman"/>
          <w:b/>
          <w:lang w:val="en-GB"/>
        </w:rPr>
      </w:pPr>
      <w:r>
        <w:rPr>
          <w:rFonts w:ascii="Times New Roman" w:eastAsia="Times New Roman" w:hAnsi="Times New Roman" w:cs="Times New Roman"/>
          <w:bCs/>
        </w:rPr>
        <w:t>1.8</w:t>
      </w:r>
      <w:r w:rsidR="00253C6F" w:rsidRPr="00663C49">
        <w:rPr>
          <w:rFonts w:ascii="Times New Roman" w:eastAsia="Times New Roman" w:hAnsi="Times New Roman" w:cs="Times New Roman"/>
          <w:b/>
        </w:rPr>
        <w:tab/>
      </w:r>
      <w:r w:rsidR="00253C6F" w:rsidRPr="00663C49">
        <w:rPr>
          <w:rFonts w:ascii="Times New Roman" w:eastAsia="Times New Roman" w:hAnsi="Times New Roman" w:cs="Times New Roman"/>
          <w:b/>
          <w:u w:val="single"/>
        </w:rPr>
        <w:t>Share Capital</w:t>
      </w:r>
    </w:p>
    <w:p w:rsidR="00253C6F" w:rsidRPr="00253C6F" w:rsidRDefault="00253C6F" w:rsidP="00253C6F">
      <w:pPr>
        <w:keepNext/>
        <w:keepLines/>
        <w:spacing w:after="0" w:line="240" w:lineRule="auto"/>
        <w:rPr>
          <w:rFonts w:ascii="Times New Roman" w:eastAsia="Times New Roman" w:hAnsi="Times New Roman" w:cs="Times New Roman"/>
          <w:lang w:val="en-GB"/>
        </w:rPr>
      </w:pPr>
    </w:p>
    <w:p w:rsidR="00253C6F" w:rsidRDefault="00253C6F" w:rsidP="00DF684E">
      <w:pPr>
        <w:keepNext/>
        <w:keepLines/>
        <w:spacing w:after="0" w:line="240" w:lineRule="auto"/>
        <w:ind w:left="720"/>
        <w:jc w:val="both"/>
        <w:rPr>
          <w:rFonts w:ascii="Times New Roman" w:eastAsia="Times New Roman" w:hAnsi="Times New Roman" w:cs="Times New Roman"/>
          <w:lang w:val="en-GB"/>
        </w:rPr>
      </w:pPr>
      <w:r w:rsidRPr="00253C6F">
        <w:rPr>
          <w:rFonts w:ascii="Times New Roman" w:eastAsia="Times New Roman" w:hAnsi="Times New Roman" w:cs="Times New Roman"/>
        </w:rPr>
        <w:t>The Company’s authorized capital consists of 100,000,000 common shares without par value an</w:t>
      </w:r>
      <w:r w:rsidR="00DF684E">
        <w:rPr>
          <w:rFonts w:ascii="Times New Roman" w:eastAsia="Times New Roman" w:hAnsi="Times New Roman" w:cs="Times New Roman"/>
        </w:rPr>
        <w:t xml:space="preserve">d 100,000,000 preferred shares. </w:t>
      </w:r>
      <w:r w:rsidRPr="00253C6F">
        <w:rPr>
          <w:rFonts w:ascii="Times New Roman" w:eastAsia="Times New Roman" w:hAnsi="Times New Roman" w:cs="Times New Roman"/>
          <w:lang w:val="en-GB"/>
        </w:rPr>
        <w:t xml:space="preserve">As at </w:t>
      </w:r>
      <w:r w:rsidR="00663C49">
        <w:rPr>
          <w:rFonts w:ascii="Times New Roman" w:eastAsia="Times New Roman" w:hAnsi="Times New Roman" w:cs="Times New Roman"/>
          <w:lang w:val="en-GB"/>
        </w:rPr>
        <w:t>December 31, 2015</w:t>
      </w:r>
      <w:r w:rsidR="00784A43">
        <w:rPr>
          <w:rFonts w:ascii="Times New Roman" w:eastAsia="Times New Roman" w:hAnsi="Times New Roman" w:cs="Times New Roman"/>
          <w:lang w:val="en-GB"/>
        </w:rPr>
        <w:t>,</w:t>
      </w:r>
      <w:r w:rsidRPr="00253C6F">
        <w:rPr>
          <w:rFonts w:ascii="Times New Roman" w:eastAsia="Times New Roman" w:hAnsi="Times New Roman" w:cs="Times New Roman"/>
          <w:lang w:val="en-GB"/>
        </w:rPr>
        <w:t xml:space="preserve"> the Company’s issued and outstanding shares are </w:t>
      </w:r>
      <w:r w:rsidR="00CE6FF9">
        <w:rPr>
          <w:rFonts w:ascii="Times New Roman" w:eastAsia="Times New Roman" w:hAnsi="Times New Roman" w:cs="Times New Roman"/>
          <w:lang w:val="en-GB"/>
        </w:rPr>
        <w:t>36,766,600</w:t>
      </w:r>
      <w:r w:rsidRPr="00253C6F">
        <w:rPr>
          <w:rFonts w:ascii="Times New Roman" w:eastAsia="Times New Roman" w:hAnsi="Times New Roman" w:cs="Times New Roman"/>
          <w:lang w:val="en-GB"/>
        </w:rPr>
        <w:t xml:space="preserve"> which have been issued for cumulative consideration of $</w:t>
      </w:r>
      <w:r w:rsidR="00CE6FF9">
        <w:rPr>
          <w:rFonts w:ascii="Times New Roman" w:eastAsia="Times New Roman" w:hAnsi="Times New Roman" w:cs="Times New Roman"/>
          <w:lang w:val="en-GB"/>
        </w:rPr>
        <w:t>8,544,601</w:t>
      </w:r>
      <w:r w:rsidR="00055B31">
        <w:rPr>
          <w:rFonts w:ascii="Times New Roman" w:eastAsia="Times New Roman" w:hAnsi="Times New Roman" w:cs="Times New Roman"/>
          <w:lang w:val="en-GB"/>
        </w:rPr>
        <w:t xml:space="preserve">. </w:t>
      </w:r>
      <w:r w:rsidR="00DF684E">
        <w:rPr>
          <w:rFonts w:ascii="Times New Roman" w:eastAsia="Times New Roman" w:hAnsi="Times New Roman" w:cs="Times New Roman"/>
          <w:lang w:val="en-GB"/>
        </w:rPr>
        <w:t xml:space="preserve"> </w:t>
      </w:r>
      <w:r w:rsidR="000F338C">
        <w:rPr>
          <w:rFonts w:ascii="Times New Roman" w:eastAsia="Times New Roman" w:hAnsi="Times New Roman" w:cs="Times New Roman"/>
          <w:lang w:val="en-GB"/>
        </w:rPr>
        <w:t>Subsequent to the period end, the Company closed a private placement and issued 2,150,000 shares for gross proceeds of $215,000</w:t>
      </w:r>
      <w:r w:rsidR="00EC3ED6">
        <w:rPr>
          <w:rFonts w:ascii="Times New Roman" w:eastAsia="Times New Roman" w:hAnsi="Times New Roman" w:cs="Times New Roman"/>
          <w:lang w:val="en-GB"/>
        </w:rPr>
        <w:t xml:space="preserve">, and issued 83,333 common shares in respect of a warrant exercise. </w:t>
      </w:r>
      <w:r w:rsidR="00055B31">
        <w:rPr>
          <w:rFonts w:ascii="Times New Roman" w:eastAsia="Times New Roman" w:hAnsi="Times New Roman" w:cs="Times New Roman"/>
          <w:lang w:val="en-GB"/>
        </w:rPr>
        <w:t>A</w:t>
      </w:r>
      <w:r w:rsidR="006A3477">
        <w:rPr>
          <w:rFonts w:ascii="Times New Roman" w:eastAsia="Times New Roman" w:hAnsi="Times New Roman" w:cs="Times New Roman"/>
          <w:lang w:val="en-GB"/>
        </w:rPr>
        <w:t xml:space="preserve">s at the date hereof the Company’s issued and outstanding shares are </w:t>
      </w:r>
      <w:r w:rsidR="00CE6FF9">
        <w:rPr>
          <w:rFonts w:ascii="Times New Roman" w:eastAsia="Times New Roman" w:hAnsi="Times New Roman" w:cs="Times New Roman"/>
          <w:lang w:val="en-GB"/>
        </w:rPr>
        <w:t>38,999,933</w:t>
      </w:r>
      <w:r w:rsidRPr="00253C6F">
        <w:rPr>
          <w:rFonts w:ascii="Times New Roman" w:eastAsia="Times New Roman" w:hAnsi="Times New Roman" w:cs="Times New Roman"/>
          <w:lang w:val="en-GB"/>
        </w:rPr>
        <w:t>.</w:t>
      </w:r>
    </w:p>
    <w:p w:rsidR="001E5F70" w:rsidRDefault="001E5F70" w:rsidP="00120E36">
      <w:pPr>
        <w:widowControl w:val="0"/>
        <w:tabs>
          <w:tab w:val="center" w:pos="4776"/>
        </w:tabs>
        <w:autoSpaceDE w:val="0"/>
        <w:autoSpaceDN w:val="0"/>
        <w:adjustRightInd w:val="0"/>
        <w:spacing w:after="0" w:line="240" w:lineRule="auto"/>
        <w:ind w:left="720"/>
        <w:jc w:val="both"/>
        <w:rPr>
          <w:rFonts w:ascii="Times New Roman" w:eastAsia="Times New Roman" w:hAnsi="Times New Roman" w:cs="Times New Roman"/>
          <w:lang w:val="en-GB"/>
        </w:rPr>
      </w:pPr>
    </w:p>
    <w:tbl>
      <w:tblPr>
        <w:tblW w:w="9907" w:type="dxa"/>
        <w:jc w:val="center"/>
        <w:tblLook w:val="0000" w:firstRow="0" w:lastRow="0" w:firstColumn="0" w:lastColumn="0" w:noHBand="0" w:noVBand="0"/>
      </w:tblPr>
      <w:tblGrid>
        <w:gridCol w:w="4302"/>
        <w:gridCol w:w="1348"/>
        <w:gridCol w:w="1527"/>
        <w:gridCol w:w="1352"/>
        <w:gridCol w:w="1378"/>
      </w:tblGrid>
      <w:tr w:rsidR="00D140F1" w:rsidRPr="00D140F1" w:rsidTr="00CE6FF9">
        <w:trPr>
          <w:jc w:val="center"/>
        </w:trPr>
        <w:tc>
          <w:tcPr>
            <w:tcW w:w="4324" w:type="dxa"/>
            <w:tcBorders>
              <w:top w:val="single" w:sz="8" w:space="0" w:color="auto"/>
              <w:bottom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Times New Roman" w:eastAsia="Times New Roman" w:hAnsi="Times New Roman" w:cs="Times New Roman"/>
                <w:lang w:val="en-GB"/>
              </w:rPr>
            </w:pPr>
          </w:p>
        </w:tc>
        <w:tc>
          <w:tcPr>
            <w:tcW w:w="1350" w:type="dxa"/>
            <w:tcBorders>
              <w:top w:val="single" w:sz="8" w:space="0" w:color="auto"/>
              <w:bottom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D140F1">
              <w:rPr>
                <w:rFonts w:ascii="Times New Roman" w:eastAsia="Times New Roman" w:hAnsi="Times New Roman" w:cs="Times New Roman"/>
                <w:b/>
                <w:lang w:val="en-GB"/>
              </w:rPr>
              <w:t>Number of Shares</w:t>
            </w:r>
          </w:p>
        </w:tc>
        <w:tc>
          <w:tcPr>
            <w:tcW w:w="1530" w:type="dxa"/>
            <w:tcBorders>
              <w:top w:val="single" w:sz="8" w:space="0" w:color="auto"/>
              <w:bottom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p>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D140F1">
              <w:rPr>
                <w:rFonts w:ascii="Times New Roman" w:eastAsia="Times New Roman" w:hAnsi="Times New Roman" w:cs="Times New Roman"/>
                <w:b/>
                <w:lang w:val="en-GB"/>
              </w:rPr>
              <w:t>Amount</w:t>
            </w:r>
          </w:p>
        </w:tc>
        <w:tc>
          <w:tcPr>
            <w:tcW w:w="1354" w:type="dxa"/>
            <w:tcBorders>
              <w:top w:val="single" w:sz="8" w:space="0" w:color="auto"/>
              <w:bottom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D140F1">
              <w:rPr>
                <w:rFonts w:ascii="Times New Roman" w:eastAsia="Times New Roman" w:hAnsi="Times New Roman" w:cs="Times New Roman"/>
                <w:b/>
                <w:lang w:val="en-GB"/>
              </w:rPr>
              <w:t>Share Purchase Warrants</w:t>
            </w:r>
          </w:p>
        </w:tc>
        <w:tc>
          <w:tcPr>
            <w:tcW w:w="1349" w:type="dxa"/>
            <w:tcBorders>
              <w:top w:val="single" w:sz="8" w:space="0" w:color="auto"/>
              <w:bottom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Times New Roman" w:eastAsia="Times New Roman" w:hAnsi="Times New Roman" w:cs="Times New Roman"/>
                <w:b/>
                <w:lang w:val="en-GB"/>
              </w:rPr>
            </w:pPr>
            <w:r w:rsidRPr="00D140F1">
              <w:rPr>
                <w:rFonts w:ascii="Times New Roman" w:eastAsia="Times New Roman" w:hAnsi="Times New Roman" w:cs="Times New Roman"/>
                <w:b/>
                <w:lang w:val="en-GB"/>
              </w:rPr>
              <w:t>Contributed Surplus</w:t>
            </w:r>
          </w:p>
        </w:tc>
      </w:tr>
      <w:tr w:rsidR="00D140F1" w:rsidRPr="00D140F1" w:rsidTr="00CE6FF9">
        <w:trPr>
          <w:trHeight w:val="75"/>
          <w:jc w:val="center"/>
        </w:trPr>
        <w:tc>
          <w:tcPr>
            <w:tcW w:w="4324" w:type="dxa"/>
            <w:tcBorders>
              <w:top w:val="single" w:sz="8" w:space="0" w:color="auto"/>
            </w:tcBorders>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Times New Roman" w:eastAsia="Times New Roman" w:hAnsi="Times New Roman" w:cs="Times New Roman"/>
                <w:lang w:val="en-GB"/>
              </w:rPr>
            </w:pPr>
          </w:p>
        </w:tc>
        <w:tc>
          <w:tcPr>
            <w:tcW w:w="1350" w:type="dxa"/>
            <w:tcBorders>
              <w:top w:val="single" w:sz="8" w:space="0" w:color="auto"/>
            </w:tcBorders>
          </w:tcPr>
          <w:p w:rsidR="00D140F1" w:rsidRPr="00D140F1" w:rsidRDefault="00D140F1" w:rsidP="002A7FBC">
            <w:pPr>
              <w:tabs>
                <w:tab w:val="left" w:pos="-630"/>
                <w:tab w:val="left" w:pos="-108"/>
                <w:tab w:val="decimal" w:pos="1086"/>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lang w:val="en-GB"/>
              </w:rPr>
            </w:pPr>
          </w:p>
        </w:tc>
        <w:tc>
          <w:tcPr>
            <w:tcW w:w="1530" w:type="dxa"/>
            <w:tcBorders>
              <w:top w:val="single" w:sz="8" w:space="0" w:color="auto"/>
            </w:tcBorders>
          </w:tcPr>
          <w:p w:rsidR="00D140F1" w:rsidRPr="00D140F1" w:rsidRDefault="00D140F1" w:rsidP="002A7FBC">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c>
          <w:tcPr>
            <w:tcW w:w="1354" w:type="dxa"/>
            <w:tcBorders>
              <w:top w:val="single" w:sz="8" w:space="0" w:color="auto"/>
            </w:tcBorders>
          </w:tcPr>
          <w:p w:rsidR="00D140F1" w:rsidRPr="00D140F1" w:rsidRDefault="00D140F1" w:rsidP="002A7FBC">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c>
          <w:tcPr>
            <w:tcW w:w="1349" w:type="dxa"/>
            <w:tcBorders>
              <w:top w:val="single" w:sz="8" w:space="0" w:color="auto"/>
            </w:tcBorders>
          </w:tcPr>
          <w:p w:rsidR="00D140F1" w:rsidRPr="00D140F1" w:rsidRDefault="00D140F1" w:rsidP="002A7FBC">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p>
        </w:tc>
      </w:tr>
      <w:tr w:rsidR="00D140F1" w:rsidRPr="00D140F1" w:rsidTr="00CE6FF9">
        <w:trPr>
          <w:trHeight w:val="281"/>
          <w:jc w:val="center"/>
        </w:trPr>
        <w:tc>
          <w:tcPr>
            <w:tcW w:w="4324" w:type="dxa"/>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D140F1">
              <w:rPr>
                <w:rFonts w:ascii="Times New Roman" w:eastAsia="Times New Roman" w:hAnsi="Times New Roman" w:cs="Times New Roman"/>
                <w:b/>
                <w:bCs/>
                <w:lang w:val="en-GB"/>
              </w:rPr>
              <w:t>Balance, June 30, 2014</w:t>
            </w:r>
          </w:p>
        </w:tc>
        <w:tc>
          <w:tcPr>
            <w:tcW w:w="1350" w:type="dxa"/>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sidRPr="00D140F1">
              <w:rPr>
                <w:rFonts w:ascii="Times New Roman" w:eastAsia="Times New Roman" w:hAnsi="Times New Roman" w:cs="Times New Roman"/>
                <w:b/>
                <w:lang w:val="en-GB"/>
              </w:rPr>
              <w:t>30,006,770</w:t>
            </w:r>
          </w:p>
        </w:tc>
        <w:tc>
          <w:tcPr>
            <w:tcW w:w="1530" w:type="dxa"/>
            <w:vAlign w:val="center"/>
          </w:tcPr>
          <w:p w:rsidR="00D140F1" w:rsidRPr="00D140F1" w:rsidRDefault="00D140F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D140F1">
              <w:rPr>
                <w:rFonts w:ascii="Times New Roman" w:eastAsia="Times New Roman" w:hAnsi="Times New Roman" w:cs="Times New Roman"/>
                <w:b/>
                <w:lang w:val="en-GB"/>
              </w:rPr>
              <w:t xml:space="preserve">   </w:t>
            </w:r>
            <w:r w:rsidR="00EC3ED6">
              <w:rPr>
                <w:rFonts w:ascii="Times New Roman" w:eastAsia="Times New Roman" w:hAnsi="Times New Roman" w:cs="Times New Roman"/>
                <w:b/>
                <w:lang w:val="en-GB"/>
              </w:rPr>
              <w:t xml:space="preserve">$  </w:t>
            </w:r>
            <w:r w:rsidRPr="00D140F1">
              <w:rPr>
                <w:rFonts w:ascii="Times New Roman" w:eastAsia="Times New Roman" w:hAnsi="Times New Roman" w:cs="Times New Roman"/>
                <w:b/>
                <w:lang w:val="en-GB"/>
              </w:rPr>
              <w:t xml:space="preserve"> 7,992,525</w:t>
            </w:r>
          </w:p>
        </w:tc>
        <w:tc>
          <w:tcPr>
            <w:tcW w:w="1354" w:type="dxa"/>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w:t>
            </w:r>
          </w:p>
        </w:tc>
        <w:tc>
          <w:tcPr>
            <w:tcW w:w="1349" w:type="dxa"/>
            <w:vAlign w:val="center"/>
          </w:tcPr>
          <w:p w:rsidR="00D140F1" w:rsidRPr="00D140F1" w:rsidRDefault="00EC3ED6" w:rsidP="002A7FBC">
            <w:pPr>
              <w:tabs>
                <w:tab w:val="left" w:pos="-108"/>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Pr>
                <w:rFonts w:ascii="Times New Roman" w:eastAsia="Times New Roman" w:hAnsi="Times New Roman" w:cs="Times New Roman"/>
                <w:b/>
                <w:lang w:val="en-GB"/>
              </w:rPr>
              <w:t xml:space="preserve">$    </w:t>
            </w:r>
            <w:r w:rsidR="00D140F1" w:rsidRPr="00D140F1">
              <w:rPr>
                <w:rFonts w:ascii="Times New Roman" w:eastAsia="Times New Roman" w:hAnsi="Times New Roman" w:cs="Times New Roman"/>
                <w:b/>
                <w:lang w:val="en-GB"/>
              </w:rPr>
              <w:t>183,383</w:t>
            </w:r>
          </w:p>
        </w:tc>
      </w:tr>
      <w:tr w:rsidR="00D140F1" w:rsidRPr="00D140F1" w:rsidTr="003F5BD9">
        <w:trPr>
          <w:trHeight w:val="153"/>
          <w:jc w:val="center"/>
        </w:trPr>
        <w:tc>
          <w:tcPr>
            <w:tcW w:w="4324" w:type="dxa"/>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Shares issued for cash</w:t>
            </w:r>
          </w:p>
        </w:tc>
        <w:tc>
          <w:tcPr>
            <w:tcW w:w="1350" w:type="dxa"/>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4,565,000</w:t>
            </w:r>
          </w:p>
        </w:tc>
        <w:tc>
          <w:tcPr>
            <w:tcW w:w="1530" w:type="dxa"/>
            <w:vAlign w:val="center"/>
          </w:tcPr>
          <w:p w:rsidR="00D140F1" w:rsidRPr="00D140F1" w:rsidRDefault="00055B3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276,133</w:t>
            </w:r>
          </w:p>
        </w:tc>
        <w:tc>
          <w:tcPr>
            <w:tcW w:w="1354" w:type="dxa"/>
            <w:vAlign w:val="center"/>
          </w:tcPr>
          <w:p w:rsidR="00D140F1" w:rsidRPr="00D140F1" w:rsidRDefault="00055B3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Pr>
                <w:rFonts w:ascii="Times New Roman" w:eastAsia="Times New Roman" w:hAnsi="Times New Roman" w:cs="Times New Roman"/>
                <w:bCs/>
                <w:lang w:val="en-GB"/>
              </w:rPr>
              <w:t>180,367</w:t>
            </w:r>
          </w:p>
        </w:tc>
        <w:tc>
          <w:tcPr>
            <w:tcW w:w="1349" w:type="dxa"/>
            <w:vAlign w:val="center"/>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D140F1" w:rsidRPr="00D140F1" w:rsidTr="003F5BD9">
        <w:trPr>
          <w:trHeight w:val="153"/>
          <w:jc w:val="center"/>
        </w:trPr>
        <w:tc>
          <w:tcPr>
            <w:tcW w:w="4324" w:type="dxa"/>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Shares issued in deposit</w:t>
            </w:r>
            <w:r w:rsidR="003F5BD9">
              <w:rPr>
                <w:rFonts w:ascii="Times New Roman" w:eastAsia="Times New Roman" w:hAnsi="Times New Roman" w:cs="Times New Roman"/>
                <w:bCs/>
                <w:lang w:val="en-GB"/>
              </w:rPr>
              <w:t xml:space="preserve"> of property</w:t>
            </w:r>
          </w:p>
        </w:tc>
        <w:tc>
          <w:tcPr>
            <w:tcW w:w="1350" w:type="dxa"/>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200,000</w:t>
            </w:r>
          </w:p>
        </w:tc>
        <w:tc>
          <w:tcPr>
            <w:tcW w:w="1530" w:type="dxa"/>
            <w:vAlign w:val="center"/>
          </w:tcPr>
          <w:p w:rsidR="00D140F1" w:rsidRPr="00D140F1" w:rsidRDefault="00D140F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30,000</w:t>
            </w:r>
          </w:p>
        </w:tc>
        <w:tc>
          <w:tcPr>
            <w:tcW w:w="1354" w:type="dxa"/>
            <w:vAlign w:val="center"/>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c>
          <w:tcPr>
            <w:tcW w:w="1349" w:type="dxa"/>
            <w:vAlign w:val="center"/>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D140F1" w:rsidRPr="00D140F1" w:rsidTr="003F5BD9">
        <w:trPr>
          <w:trHeight w:val="153"/>
          <w:jc w:val="center"/>
        </w:trPr>
        <w:tc>
          <w:tcPr>
            <w:tcW w:w="4324" w:type="dxa"/>
            <w:vAlign w:val="center"/>
          </w:tcPr>
          <w:p w:rsidR="00D140F1" w:rsidRPr="00D140F1" w:rsidRDefault="00D140F1" w:rsidP="003F5BD9">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 xml:space="preserve">Share issued </w:t>
            </w:r>
            <w:r w:rsidR="003F5BD9">
              <w:rPr>
                <w:rFonts w:ascii="Times New Roman" w:eastAsia="Times New Roman" w:hAnsi="Times New Roman" w:cs="Times New Roman"/>
                <w:bCs/>
                <w:lang w:val="en-GB"/>
              </w:rPr>
              <w:t>in deposit of property acquisition</w:t>
            </w:r>
          </w:p>
        </w:tc>
        <w:tc>
          <w:tcPr>
            <w:tcW w:w="1350" w:type="dxa"/>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500,000</w:t>
            </w:r>
          </w:p>
        </w:tc>
        <w:tc>
          <w:tcPr>
            <w:tcW w:w="1530" w:type="dxa"/>
            <w:vAlign w:val="center"/>
          </w:tcPr>
          <w:p w:rsidR="00D140F1" w:rsidRPr="00D140F1" w:rsidRDefault="00D140F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75,000</w:t>
            </w:r>
          </w:p>
        </w:tc>
        <w:tc>
          <w:tcPr>
            <w:tcW w:w="1354" w:type="dxa"/>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c>
          <w:tcPr>
            <w:tcW w:w="1349" w:type="dxa"/>
            <w:vAlign w:val="center"/>
          </w:tcPr>
          <w:p w:rsidR="00D140F1" w:rsidRPr="00D140F1" w:rsidRDefault="00055B3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055B31" w:rsidRPr="00D140F1" w:rsidTr="003F5BD9">
        <w:trPr>
          <w:trHeight w:val="153"/>
          <w:jc w:val="center"/>
        </w:trPr>
        <w:tc>
          <w:tcPr>
            <w:tcW w:w="4324" w:type="dxa"/>
            <w:vAlign w:val="center"/>
          </w:tcPr>
          <w:p w:rsidR="00055B31" w:rsidRPr="00D140F1" w:rsidRDefault="00055B3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Pr>
                <w:rFonts w:ascii="Times New Roman" w:eastAsia="Times New Roman" w:hAnsi="Times New Roman" w:cs="Times New Roman"/>
                <w:bCs/>
                <w:lang w:val="en-GB"/>
              </w:rPr>
              <w:t>Shares issued for services</w:t>
            </w:r>
          </w:p>
        </w:tc>
        <w:tc>
          <w:tcPr>
            <w:tcW w:w="1350" w:type="dxa"/>
            <w:vAlign w:val="center"/>
          </w:tcPr>
          <w:p w:rsidR="00055B31" w:rsidRPr="00D140F1" w:rsidRDefault="00055B3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Cs/>
                <w:lang w:val="en-GB"/>
              </w:rPr>
            </w:pPr>
            <w:r>
              <w:rPr>
                <w:rFonts w:ascii="Times New Roman" w:eastAsia="Times New Roman" w:hAnsi="Times New Roman" w:cs="Times New Roman"/>
                <w:bCs/>
                <w:lang w:val="en-GB"/>
              </w:rPr>
              <w:t>300,000</w:t>
            </w:r>
          </w:p>
        </w:tc>
        <w:tc>
          <w:tcPr>
            <w:tcW w:w="1530" w:type="dxa"/>
            <w:vAlign w:val="center"/>
          </w:tcPr>
          <w:p w:rsidR="00055B31" w:rsidRPr="00D140F1" w:rsidRDefault="00055B3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Pr>
                <w:rFonts w:ascii="Times New Roman" w:eastAsia="Times New Roman" w:hAnsi="Times New Roman" w:cs="Times New Roman"/>
                <w:bCs/>
                <w:lang w:val="en-GB"/>
              </w:rPr>
              <w:t>75,000</w:t>
            </w:r>
          </w:p>
        </w:tc>
        <w:tc>
          <w:tcPr>
            <w:tcW w:w="1354" w:type="dxa"/>
          </w:tcPr>
          <w:p w:rsidR="00055B31" w:rsidRPr="00D140F1" w:rsidRDefault="00055B3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c>
          <w:tcPr>
            <w:tcW w:w="1349" w:type="dxa"/>
            <w:vAlign w:val="center"/>
          </w:tcPr>
          <w:p w:rsidR="00055B31" w:rsidRPr="00D140F1" w:rsidRDefault="00055B3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D140F1" w:rsidRPr="00D140F1" w:rsidTr="003F5BD9">
        <w:trPr>
          <w:trHeight w:val="153"/>
          <w:jc w:val="center"/>
        </w:trPr>
        <w:tc>
          <w:tcPr>
            <w:tcW w:w="4324" w:type="dxa"/>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Share issuance costs</w:t>
            </w:r>
          </w:p>
        </w:tc>
        <w:tc>
          <w:tcPr>
            <w:tcW w:w="1350" w:type="dxa"/>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w:t>
            </w:r>
          </w:p>
        </w:tc>
        <w:tc>
          <w:tcPr>
            <w:tcW w:w="1530" w:type="dxa"/>
            <w:vAlign w:val="center"/>
          </w:tcPr>
          <w:p w:rsidR="00D140F1" w:rsidRPr="00D140F1" w:rsidRDefault="00D140F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(17,500)</w:t>
            </w:r>
          </w:p>
        </w:tc>
        <w:tc>
          <w:tcPr>
            <w:tcW w:w="1354" w:type="dxa"/>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c>
          <w:tcPr>
            <w:tcW w:w="1349" w:type="dxa"/>
            <w:vAlign w:val="center"/>
          </w:tcPr>
          <w:p w:rsidR="00D140F1" w:rsidRPr="00D140F1" w:rsidRDefault="00CE6FF9"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D140F1" w:rsidRPr="00D140F1" w:rsidTr="003F5BD9">
        <w:trPr>
          <w:trHeight w:val="153"/>
          <w:jc w:val="center"/>
        </w:trPr>
        <w:tc>
          <w:tcPr>
            <w:tcW w:w="4324" w:type="dxa"/>
            <w:tcBorders>
              <w:bottom w:val="single" w:sz="8" w:space="0" w:color="auto"/>
            </w:tcBorders>
            <w:vAlign w:val="center"/>
          </w:tcPr>
          <w:p w:rsidR="00D140F1" w:rsidRPr="00D140F1" w:rsidRDefault="00D140F1" w:rsidP="002A7FBC">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D140F1">
              <w:rPr>
                <w:rFonts w:ascii="Times New Roman" w:eastAsia="Times New Roman" w:hAnsi="Times New Roman" w:cs="Times New Roman"/>
                <w:bCs/>
                <w:lang w:val="en-GB"/>
              </w:rPr>
              <w:t>Share-based payments</w:t>
            </w:r>
          </w:p>
        </w:tc>
        <w:tc>
          <w:tcPr>
            <w:tcW w:w="1350" w:type="dxa"/>
            <w:tcBorders>
              <w:bottom w:val="single" w:sz="8" w:space="0" w:color="auto"/>
            </w:tcBorders>
            <w:vAlign w:val="center"/>
          </w:tcPr>
          <w:p w:rsidR="00D140F1" w:rsidRPr="00D140F1" w:rsidRDefault="00D140F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sidRPr="00D140F1">
              <w:rPr>
                <w:rFonts w:ascii="Times New Roman" w:eastAsia="Times New Roman" w:hAnsi="Times New Roman" w:cs="Times New Roman"/>
                <w:bCs/>
                <w:lang w:val="en-GB"/>
              </w:rPr>
              <w:t>-</w:t>
            </w:r>
          </w:p>
        </w:tc>
        <w:tc>
          <w:tcPr>
            <w:tcW w:w="1530" w:type="dxa"/>
            <w:tcBorders>
              <w:bottom w:val="single" w:sz="8" w:space="0" w:color="auto"/>
            </w:tcBorders>
            <w:vAlign w:val="center"/>
          </w:tcPr>
          <w:p w:rsidR="00D140F1" w:rsidRPr="00D140F1" w:rsidRDefault="00D140F1" w:rsidP="002A7FBC">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bCs/>
                <w:lang w:val="en-GB"/>
              </w:rPr>
              <w:t>-</w:t>
            </w:r>
          </w:p>
        </w:tc>
        <w:tc>
          <w:tcPr>
            <w:tcW w:w="1354" w:type="dxa"/>
            <w:tcBorders>
              <w:bottom w:val="single" w:sz="8" w:space="0" w:color="auto"/>
            </w:tcBorders>
          </w:tcPr>
          <w:p w:rsidR="00D140F1" w:rsidRPr="00D140F1" w:rsidRDefault="00D140F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c>
          <w:tcPr>
            <w:tcW w:w="1349" w:type="dxa"/>
            <w:tcBorders>
              <w:bottom w:val="single" w:sz="8" w:space="0" w:color="auto"/>
            </w:tcBorders>
            <w:vAlign w:val="center"/>
          </w:tcPr>
          <w:p w:rsidR="00D140F1" w:rsidRPr="00D140F1" w:rsidRDefault="00055B31" w:rsidP="002A7FBC">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634,662</w:t>
            </w:r>
          </w:p>
        </w:tc>
      </w:tr>
      <w:tr w:rsidR="00D140F1" w:rsidRPr="00D140F1" w:rsidTr="00CE6FF9">
        <w:trPr>
          <w:trHeight w:val="263"/>
          <w:jc w:val="center"/>
        </w:trPr>
        <w:tc>
          <w:tcPr>
            <w:tcW w:w="4324" w:type="dxa"/>
            <w:tcBorders>
              <w:top w:val="single" w:sz="8" w:space="0" w:color="auto"/>
            </w:tcBorders>
            <w:vAlign w:val="center"/>
          </w:tcPr>
          <w:p w:rsidR="00D140F1" w:rsidRPr="00D140F1" w:rsidRDefault="00D140F1" w:rsidP="00055B31">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D140F1">
              <w:rPr>
                <w:rFonts w:ascii="Times New Roman" w:eastAsia="Times New Roman" w:hAnsi="Times New Roman" w:cs="Times New Roman"/>
                <w:b/>
                <w:bCs/>
                <w:lang w:val="en-GB"/>
              </w:rPr>
              <w:t xml:space="preserve">Balance, </w:t>
            </w:r>
            <w:r w:rsidR="00055B31">
              <w:rPr>
                <w:rFonts w:ascii="Times New Roman" w:eastAsia="Times New Roman" w:hAnsi="Times New Roman" w:cs="Times New Roman"/>
                <w:b/>
                <w:bCs/>
                <w:lang w:val="en-GB"/>
              </w:rPr>
              <w:t>June 30, 2015</w:t>
            </w:r>
          </w:p>
        </w:tc>
        <w:tc>
          <w:tcPr>
            <w:tcW w:w="1350" w:type="dxa"/>
            <w:tcBorders>
              <w:top w:val="single" w:sz="8" w:space="0" w:color="auto"/>
            </w:tcBorders>
            <w:vAlign w:val="bottom"/>
          </w:tcPr>
          <w:p w:rsidR="00D140F1" w:rsidRPr="00D140F1" w:rsidRDefault="00055B31"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Pr>
                <w:rFonts w:ascii="Times New Roman" w:eastAsia="Times New Roman" w:hAnsi="Times New Roman" w:cs="Times New Roman"/>
                <w:b/>
                <w:lang w:val="en-GB"/>
              </w:rPr>
              <w:t>35,571,770</w:t>
            </w:r>
          </w:p>
        </w:tc>
        <w:tc>
          <w:tcPr>
            <w:tcW w:w="1530" w:type="dxa"/>
            <w:tcBorders>
              <w:top w:val="single" w:sz="8" w:space="0" w:color="auto"/>
            </w:tcBorders>
            <w:vAlign w:val="bottom"/>
          </w:tcPr>
          <w:p w:rsidR="00D140F1" w:rsidRPr="00D140F1" w:rsidRDefault="00D140F1" w:rsidP="00055B31">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D140F1">
              <w:rPr>
                <w:rFonts w:ascii="Times New Roman" w:eastAsia="Times New Roman" w:hAnsi="Times New Roman" w:cs="Times New Roman"/>
                <w:b/>
                <w:lang w:val="en-GB"/>
              </w:rPr>
              <w:t xml:space="preserve">$     </w:t>
            </w:r>
            <w:r w:rsidR="00055B31">
              <w:rPr>
                <w:rFonts w:ascii="Times New Roman" w:eastAsia="Times New Roman" w:hAnsi="Times New Roman" w:cs="Times New Roman"/>
                <w:b/>
                <w:lang w:val="en-GB"/>
              </w:rPr>
              <w:t>8,431,158</w:t>
            </w:r>
          </w:p>
        </w:tc>
        <w:tc>
          <w:tcPr>
            <w:tcW w:w="1354" w:type="dxa"/>
            <w:tcBorders>
              <w:top w:val="single" w:sz="8" w:space="0" w:color="auto"/>
            </w:tcBorders>
            <w:vAlign w:val="bottom"/>
          </w:tcPr>
          <w:p w:rsidR="00D140F1" w:rsidRPr="00D140F1" w:rsidRDefault="00D140F1"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D140F1">
              <w:rPr>
                <w:rFonts w:ascii="Times New Roman" w:eastAsia="Times New Roman" w:hAnsi="Times New Roman" w:cs="Times New Roman"/>
                <w:b/>
                <w:lang w:val="en-GB"/>
              </w:rPr>
              <w:t xml:space="preserve">$     </w:t>
            </w:r>
            <w:r w:rsidR="00055B31">
              <w:rPr>
                <w:rFonts w:ascii="Times New Roman" w:eastAsia="Times New Roman" w:hAnsi="Times New Roman" w:cs="Times New Roman"/>
                <w:b/>
                <w:lang w:val="en-GB"/>
              </w:rPr>
              <w:t>180,367</w:t>
            </w:r>
          </w:p>
        </w:tc>
        <w:tc>
          <w:tcPr>
            <w:tcW w:w="1349" w:type="dxa"/>
            <w:tcBorders>
              <w:top w:val="single" w:sz="8" w:space="0" w:color="auto"/>
            </w:tcBorders>
            <w:vAlign w:val="bottom"/>
          </w:tcPr>
          <w:p w:rsidR="00D140F1" w:rsidRPr="00D140F1" w:rsidRDefault="00D140F1"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sidRPr="00D140F1">
              <w:rPr>
                <w:rFonts w:ascii="Times New Roman" w:eastAsia="Times New Roman" w:hAnsi="Times New Roman" w:cs="Times New Roman"/>
                <w:b/>
                <w:lang w:val="en-GB"/>
              </w:rPr>
              <w:t xml:space="preserve">$      </w:t>
            </w:r>
            <w:r w:rsidR="00055B31">
              <w:rPr>
                <w:rFonts w:ascii="Times New Roman" w:eastAsia="Times New Roman" w:hAnsi="Times New Roman" w:cs="Times New Roman"/>
                <w:b/>
                <w:lang w:val="en-GB"/>
              </w:rPr>
              <w:t>818,045</w:t>
            </w:r>
          </w:p>
        </w:tc>
      </w:tr>
      <w:tr w:rsidR="00CE6FF9" w:rsidRPr="00D140F1" w:rsidTr="00CE6FF9">
        <w:trPr>
          <w:trHeight w:val="263"/>
          <w:jc w:val="center"/>
        </w:trPr>
        <w:tc>
          <w:tcPr>
            <w:tcW w:w="4324" w:type="dxa"/>
            <w:vAlign w:val="center"/>
          </w:tcPr>
          <w:p w:rsidR="00CE6FF9" w:rsidRPr="00CE6FF9" w:rsidRDefault="00CE6FF9" w:rsidP="00055B31">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sidRPr="00CE6FF9">
              <w:rPr>
                <w:rFonts w:ascii="Times New Roman" w:eastAsia="Times New Roman" w:hAnsi="Times New Roman" w:cs="Times New Roman"/>
                <w:bCs/>
                <w:lang w:val="en-GB"/>
              </w:rPr>
              <w:t>Shares</w:t>
            </w:r>
            <w:r>
              <w:rPr>
                <w:rFonts w:ascii="Times New Roman" w:eastAsia="Times New Roman" w:hAnsi="Times New Roman" w:cs="Times New Roman"/>
                <w:bCs/>
                <w:lang w:val="en-GB"/>
              </w:rPr>
              <w:t xml:space="preserve"> issued for cash</w:t>
            </w:r>
          </w:p>
        </w:tc>
        <w:tc>
          <w:tcPr>
            <w:tcW w:w="1350" w:type="dxa"/>
            <w:vAlign w:val="bottom"/>
          </w:tcPr>
          <w:p w:rsidR="00CE6FF9" w:rsidRPr="00CE6FF9" w:rsidRDefault="00CE6FF9"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Pr>
                <w:rFonts w:ascii="Times New Roman" w:eastAsia="Times New Roman" w:hAnsi="Times New Roman" w:cs="Times New Roman"/>
                <w:lang w:val="en-GB"/>
              </w:rPr>
              <w:t>1,137,830</w:t>
            </w:r>
          </w:p>
        </w:tc>
        <w:tc>
          <w:tcPr>
            <w:tcW w:w="1530" w:type="dxa"/>
            <w:vAlign w:val="bottom"/>
          </w:tcPr>
          <w:p w:rsidR="00CE6FF9" w:rsidRPr="00CE6FF9" w:rsidRDefault="00CE6FF9" w:rsidP="00055B31">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102,642</w:t>
            </w:r>
          </w:p>
        </w:tc>
        <w:tc>
          <w:tcPr>
            <w:tcW w:w="1354" w:type="dxa"/>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68,033</w:t>
            </w:r>
          </w:p>
        </w:tc>
        <w:tc>
          <w:tcPr>
            <w:tcW w:w="1349" w:type="dxa"/>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CE6FF9" w:rsidRPr="00D140F1" w:rsidTr="00CE6FF9">
        <w:trPr>
          <w:trHeight w:val="263"/>
          <w:jc w:val="center"/>
        </w:trPr>
        <w:tc>
          <w:tcPr>
            <w:tcW w:w="4324" w:type="dxa"/>
            <w:tcBorders>
              <w:bottom w:val="single" w:sz="4" w:space="0" w:color="auto"/>
            </w:tcBorders>
            <w:vAlign w:val="center"/>
          </w:tcPr>
          <w:p w:rsidR="00CE6FF9" w:rsidRPr="00CE6FF9" w:rsidRDefault="00CE6FF9" w:rsidP="00055B31">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lang w:val="en-GB"/>
              </w:rPr>
            </w:pPr>
            <w:r>
              <w:rPr>
                <w:rFonts w:ascii="Times New Roman" w:eastAsia="Times New Roman" w:hAnsi="Times New Roman" w:cs="Times New Roman"/>
                <w:bCs/>
                <w:lang w:val="en-GB"/>
              </w:rPr>
              <w:t>Exercise of warrants</w:t>
            </w:r>
          </w:p>
        </w:tc>
        <w:tc>
          <w:tcPr>
            <w:tcW w:w="1350" w:type="dxa"/>
            <w:tcBorders>
              <w:bottom w:val="single" w:sz="4" w:space="0" w:color="auto"/>
            </w:tcBorders>
            <w:vAlign w:val="bottom"/>
          </w:tcPr>
          <w:p w:rsidR="00CE6FF9" w:rsidRPr="00CE6FF9" w:rsidRDefault="00CE6FF9"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lang w:val="en-GB"/>
              </w:rPr>
            </w:pPr>
            <w:r>
              <w:rPr>
                <w:rFonts w:ascii="Times New Roman" w:eastAsia="Times New Roman" w:hAnsi="Times New Roman" w:cs="Times New Roman"/>
                <w:lang w:val="en-GB"/>
              </w:rPr>
              <w:t>57,000</w:t>
            </w:r>
          </w:p>
        </w:tc>
        <w:tc>
          <w:tcPr>
            <w:tcW w:w="1530" w:type="dxa"/>
            <w:tcBorders>
              <w:bottom w:val="single" w:sz="4" w:space="0" w:color="auto"/>
            </w:tcBorders>
            <w:vAlign w:val="bottom"/>
          </w:tcPr>
          <w:p w:rsidR="00CE6FF9" w:rsidRPr="00CE6FF9" w:rsidRDefault="00CE6FF9" w:rsidP="00055B31">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10,801</w:t>
            </w:r>
          </w:p>
        </w:tc>
        <w:tc>
          <w:tcPr>
            <w:tcW w:w="1354" w:type="dxa"/>
            <w:tcBorders>
              <w:bottom w:val="single" w:sz="4"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Pr>
                <w:rFonts w:ascii="Times New Roman" w:eastAsia="Times New Roman" w:hAnsi="Times New Roman" w:cs="Times New Roman"/>
                <w:lang w:val="en-GB"/>
              </w:rPr>
              <w:t>(2,251)</w:t>
            </w:r>
          </w:p>
        </w:tc>
        <w:tc>
          <w:tcPr>
            <w:tcW w:w="1349" w:type="dxa"/>
            <w:tcBorders>
              <w:bottom w:val="single" w:sz="4"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lang w:val="en-GB"/>
              </w:rPr>
            </w:pPr>
            <w:r w:rsidRPr="00D140F1">
              <w:rPr>
                <w:rFonts w:ascii="Times New Roman" w:eastAsia="Times New Roman" w:hAnsi="Times New Roman" w:cs="Times New Roman"/>
                <w:lang w:val="en-GB"/>
              </w:rPr>
              <w:t>-</w:t>
            </w:r>
          </w:p>
        </w:tc>
      </w:tr>
      <w:tr w:rsidR="00CE6FF9" w:rsidRPr="00CE6FF9" w:rsidTr="00CE6FF9">
        <w:trPr>
          <w:trHeight w:val="70"/>
          <w:jc w:val="center"/>
        </w:trPr>
        <w:tc>
          <w:tcPr>
            <w:tcW w:w="4324" w:type="dxa"/>
            <w:tcBorders>
              <w:top w:val="single" w:sz="4" w:space="0" w:color="auto"/>
            </w:tcBorders>
            <w:vAlign w:val="center"/>
          </w:tcPr>
          <w:p w:rsidR="00CE6FF9" w:rsidRPr="00CE6FF9" w:rsidRDefault="00CE6FF9" w:rsidP="00055B31">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Cs/>
                <w:sz w:val="8"/>
                <w:szCs w:val="8"/>
                <w:lang w:val="en-GB"/>
              </w:rPr>
            </w:pPr>
          </w:p>
        </w:tc>
        <w:tc>
          <w:tcPr>
            <w:tcW w:w="1350" w:type="dxa"/>
            <w:tcBorders>
              <w:top w:val="single" w:sz="4" w:space="0" w:color="auto"/>
            </w:tcBorders>
            <w:vAlign w:val="bottom"/>
          </w:tcPr>
          <w:p w:rsidR="00CE6FF9" w:rsidRPr="00CE6FF9" w:rsidRDefault="00CE6FF9"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sz w:val="8"/>
                <w:szCs w:val="8"/>
                <w:lang w:val="en-GB"/>
              </w:rPr>
            </w:pPr>
          </w:p>
        </w:tc>
        <w:tc>
          <w:tcPr>
            <w:tcW w:w="1530" w:type="dxa"/>
            <w:tcBorders>
              <w:top w:val="single" w:sz="4" w:space="0" w:color="auto"/>
            </w:tcBorders>
            <w:vAlign w:val="bottom"/>
          </w:tcPr>
          <w:p w:rsidR="00CE6FF9" w:rsidRPr="00CE6FF9" w:rsidRDefault="00CE6FF9" w:rsidP="00055B31">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sz w:val="8"/>
                <w:szCs w:val="8"/>
                <w:lang w:val="en-GB"/>
              </w:rPr>
            </w:pPr>
          </w:p>
        </w:tc>
        <w:tc>
          <w:tcPr>
            <w:tcW w:w="1354" w:type="dxa"/>
            <w:tcBorders>
              <w:top w:val="single" w:sz="4"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sz w:val="8"/>
                <w:szCs w:val="8"/>
                <w:lang w:val="en-GB"/>
              </w:rPr>
            </w:pPr>
          </w:p>
        </w:tc>
        <w:tc>
          <w:tcPr>
            <w:tcW w:w="1349" w:type="dxa"/>
            <w:tcBorders>
              <w:top w:val="single" w:sz="4"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sz w:val="8"/>
                <w:szCs w:val="8"/>
                <w:lang w:val="en-GB"/>
              </w:rPr>
            </w:pPr>
          </w:p>
        </w:tc>
      </w:tr>
      <w:tr w:rsidR="00CE6FF9" w:rsidRPr="00D140F1" w:rsidTr="00CE6FF9">
        <w:trPr>
          <w:trHeight w:val="263"/>
          <w:jc w:val="center"/>
        </w:trPr>
        <w:tc>
          <w:tcPr>
            <w:tcW w:w="4324" w:type="dxa"/>
            <w:tcBorders>
              <w:bottom w:val="single" w:sz="12" w:space="0" w:color="auto"/>
            </w:tcBorders>
            <w:vAlign w:val="center"/>
          </w:tcPr>
          <w:p w:rsidR="00CE6FF9" w:rsidRPr="00CE6FF9" w:rsidRDefault="00CE6FF9" w:rsidP="00DF68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Times New Roman" w:eastAsia="Times New Roman" w:hAnsi="Times New Roman" w:cs="Times New Roman"/>
                <w:b/>
                <w:bCs/>
                <w:lang w:val="en-GB"/>
              </w:rPr>
            </w:pPr>
            <w:r w:rsidRPr="00CE6FF9">
              <w:rPr>
                <w:rFonts w:ascii="Times New Roman" w:eastAsia="Times New Roman" w:hAnsi="Times New Roman" w:cs="Times New Roman"/>
                <w:b/>
                <w:bCs/>
                <w:lang w:val="en-GB"/>
              </w:rPr>
              <w:t xml:space="preserve">Balance, </w:t>
            </w:r>
            <w:r w:rsidR="00DF684E">
              <w:rPr>
                <w:rFonts w:ascii="Times New Roman" w:eastAsia="Times New Roman" w:hAnsi="Times New Roman" w:cs="Times New Roman"/>
                <w:b/>
                <w:bCs/>
                <w:lang w:val="en-GB"/>
              </w:rPr>
              <w:t>December 31</w:t>
            </w:r>
            <w:r w:rsidRPr="00CE6FF9">
              <w:rPr>
                <w:rFonts w:ascii="Times New Roman" w:eastAsia="Times New Roman" w:hAnsi="Times New Roman" w:cs="Times New Roman"/>
                <w:b/>
                <w:bCs/>
                <w:lang w:val="en-GB"/>
              </w:rPr>
              <w:t>, 2015</w:t>
            </w:r>
          </w:p>
        </w:tc>
        <w:tc>
          <w:tcPr>
            <w:tcW w:w="1350" w:type="dxa"/>
            <w:tcBorders>
              <w:bottom w:val="single" w:sz="12" w:space="0" w:color="auto"/>
            </w:tcBorders>
            <w:vAlign w:val="bottom"/>
          </w:tcPr>
          <w:p w:rsidR="00CE6FF9" w:rsidRPr="00CE6FF9" w:rsidRDefault="00CE6FF9" w:rsidP="002A7FBC">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Times New Roman" w:eastAsia="Times New Roman" w:hAnsi="Times New Roman" w:cs="Times New Roman"/>
                <w:b/>
                <w:lang w:val="en-GB"/>
              </w:rPr>
            </w:pPr>
            <w:r>
              <w:rPr>
                <w:rFonts w:ascii="Times New Roman" w:eastAsia="Times New Roman" w:hAnsi="Times New Roman" w:cs="Times New Roman"/>
                <w:b/>
                <w:lang w:val="en-GB"/>
              </w:rPr>
              <w:t>36,766,600</w:t>
            </w:r>
          </w:p>
        </w:tc>
        <w:tc>
          <w:tcPr>
            <w:tcW w:w="1530" w:type="dxa"/>
            <w:tcBorders>
              <w:bottom w:val="single" w:sz="12" w:space="0" w:color="auto"/>
            </w:tcBorders>
            <w:vAlign w:val="bottom"/>
          </w:tcPr>
          <w:p w:rsidR="00CE6FF9" w:rsidRPr="00CE6FF9" w:rsidRDefault="00CE6FF9" w:rsidP="00055B31">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Pr>
                <w:rFonts w:ascii="Times New Roman" w:eastAsia="Times New Roman" w:hAnsi="Times New Roman" w:cs="Times New Roman"/>
                <w:b/>
                <w:lang w:val="en-GB"/>
              </w:rPr>
              <w:t>$   8,544,601</w:t>
            </w:r>
          </w:p>
        </w:tc>
        <w:tc>
          <w:tcPr>
            <w:tcW w:w="1354" w:type="dxa"/>
            <w:tcBorders>
              <w:bottom w:val="single" w:sz="12"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Pr>
                <w:rFonts w:ascii="Times New Roman" w:eastAsia="Times New Roman" w:hAnsi="Times New Roman" w:cs="Times New Roman"/>
                <w:b/>
                <w:lang w:val="en-GB"/>
              </w:rPr>
              <w:t>$   246,149</w:t>
            </w:r>
          </w:p>
        </w:tc>
        <w:tc>
          <w:tcPr>
            <w:tcW w:w="1349" w:type="dxa"/>
            <w:tcBorders>
              <w:bottom w:val="single" w:sz="12" w:space="0" w:color="auto"/>
            </w:tcBorders>
            <w:vAlign w:val="bottom"/>
          </w:tcPr>
          <w:p w:rsidR="00CE6FF9" w:rsidRPr="00CE6FF9" w:rsidRDefault="00CE6FF9" w:rsidP="00055B31">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Times New Roman" w:eastAsia="Times New Roman" w:hAnsi="Times New Roman" w:cs="Times New Roman"/>
                <w:b/>
                <w:lang w:val="en-GB"/>
              </w:rPr>
            </w:pPr>
            <w:r>
              <w:rPr>
                <w:rFonts w:ascii="Times New Roman" w:eastAsia="Times New Roman" w:hAnsi="Times New Roman" w:cs="Times New Roman"/>
                <w:b/>
                <w:lang w:val="en-GB"/>
              </w:rPr>
              <w:t>$   818,045</w:t>
            </w:r>
          </w:p>
        </w:tc>
      </w:tr>
    </w:tbl>
    <w:p w:rsidR="001E5F70" w:rsidRDefault="001E5F70" w:rsidP="007140FC">
      <w:pPr>
        <w:tabs>
          <w:tab w:val="left" w:pos="-990"/>
          <w:tab w:val="left" w:pos="-270"/>
          <w:tab w:val="left" w:pos="360"/>
          <w:tab w:val="left" w:pos="54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jc w:val="both"/>
        <w:rPr>
          <w:rFonts w:ascii="Arial" w:eastAsia="Times New Roman" w:hAnsi="Arial" w:cs="Arial"/>
          <w:b/>
          <w:sz w:val="20"/>
          <w:szCs w:val="20"/>
          <w:lang w:val="en-GB"/>
        </w:rPr>
      </w:pPr>
    </w:p>
    <w:p w:rsidR="0068511A" w:rsidRPr="001E5F70" w:rsidRDefault="0068511A" w:rsidP="007140FC">
      <w:pPr>
        <w:tabs>
          <w:tab w:val="left" w:pos="-990"/>
          <w:tab w:val="left" w:pos="-270"/>
          <w:tab w:val="left" w:pos="360"/>
          <w:tab w:val="left" w:pos="54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jc w:val="both"/>
        <w:rPr>
          <w:rFonts w:ascii="Times New Roman" w:eastAsia="Times New Roman" w:hAnsi="Times New Roman" w:cs="Times New Roman"/>
          <w:b/>
          <w:lang w:val="en-GB"/>
        </w:rPr>
      </w:pPr>
      <w:r w:rsidRPr="001E5F70">
        <w:rPr>
          <w:rFonts w:ascii="Times New Roman" w:eastAsia="Times New Roman" w:hAnsi="Times New Roman" w:cs="Times New Roman"/>
          <w:b/>
          <w:lang w:val="en-GB"/>
        </w:rPr>
        <w:t>Escrow</w:t>
      </w:r>
    </w:p>
    <w:p w:rsidR="0068511A" w:rsidRPr="001E5F70" w:rsidRDefault="0068511A" w:rsidP="007140FC">
      <w:pPr>
        <w:tabs>
          <w:tab w:val="left" w:pos="360"/>
          <w:tab w:val="left" w:pos="540"/>
          <w:tab w:val="left" w:pos="1080"/>
          <w:tab w:val="decimal" w:pos="9540"/>
        </w:tabs>
        <w:spacing w:after="0" w:line="240" w:lineRule="auto"/>
        <w:ind w:left="720" w:right="-360"/>
        <w:jc w:val="both"/>
        <w:rPr>
          <w:rFonts w:ascii="Times New Roman" w:eastAsia="Times New Roman" w:hAnsi="Times New Roman" w:cs="Times New Roman"/>
          <w:b/>
          <w:lang w:val="en-GB"/>
        </w:rPr>
      </w:pPr>
    </w:p>
    <w:p w:rsidR="0068511A" w:rsidRPr="001E5F70" w:rsidRDefault="0068511A" w:rsidP="00120E36">
      <w:pPr>
        <w:tabs>
          <w:tab w:val="left" w:pos="360"/>
          <w:tab w:val="left" w:pos="540"/>
          <w:tab w:val="left" w:pos="1080"/>
          <w:tab w:val="decimal" w:pos="9540"/>
        </w:tabs>
        <w:spacing w:after="0" w:line="240" w:lineRule="auto"/>
        <w:ind w:left="720"/>
        <w:jc w:val="both"/>
        <w:rPr>
          <w:rFonts w:ascii="Times New Roman" w:eastAsia="Times New Roman" w:hAnsi="Times New Roman" w:cs="Times New Roman"/>
          <w:lang w:val="en-GB"/>
        </w:rPr>
      </w:pPr>
      <w:r w:rsidRPr="001E5F70">
        <w:rPr>
          <w:rFonts w:ascii="Times New Roman" w:eastAsia="Times New Roman" w:hAnsi="Times New Roman" w:cs="Times New Roman"/>
          <w:lang w:val="en-GB"/>
        </w:rPr>
        <w:t xml:space="preserve">As at </w:t>
      </w:r>
      <w:r w:rsidR="00ED5B7E">
        <w:rPr>
          <w:rFonts w:ascii="Times New Roman" w:eastAsia="Times New Roman" w:hAnsi="Times New Roman" w:cs="Times New Roman"/>
          <w:lang w:val="en-GB"/>
        </w:rPr>
        <w:t>December 31</w:t>
      </w:r>
      <w:r w:rsidR="00D140F1">
        <w:rPr>
          <w:rFonts w:ascii="Times New Roman" w:eastAsia="Times New Roman" w:hAnsi="Times New Roman" w:cs="Times New Roman"/>
          <w:lang w:val="en-GB"/>
        </w:rPr>
        <w:t>, 2015</w:t>
      </w:r>
      <w:r w:rsidRPr="001E5F70">
        <w:rPr>
          <w:rFonts w:ascii="Times New Roman" w:eastAsia="Times New Roman" w:hAnsi="Times New Roman" w:cs="Times New Roman"/>
          <w:lang w:val="en-GB"/>
        </w:rPr>
        <w:t xml:space="preserve">, the Company’s transfer agent held </w:t>
      </w:r>
      <w:r w:rsidR="00055B31">
        <w:rPr>
          <w:rFonts w:ascii="Times New Roman" w:eastAsia="Times New Roman" w:hAnsi="Times New Roman" w:cs="Times New Roman"/>
          <w:lang w:val="en-GB"/>
        </w:rPr>
        <w:t>7,800,000</w:t>
      </w:r>
      <w:r w:rsidRPr="001E5F70">
        <w:rPr>
          <w:rFonts w:ascii="Times New Roman" w:eastAsia="Times New Roman" w:hAnsi="Times New Roman" w:cs="Times New Roman"/>
          <w:lang w:val="en-GB"/>
        </w:rPr>
        <w:t xml:space="preserve"> (</w:t>
      </w:r>
      <w:r w:rsidR="001E5F70" w:rsidRPr="001E5F70">
        <w:rPr>
          <w:rFonts w:ascii="Times New Roman" w:eastAsia="Times New Roman" w:hAnsi="Times New Roman" w:cs="Times New Roman"/>
          <w:lang w:val="en-GB"/>
        </w:rPr>
        <w:t xml:space="preserve">June 30, </w:t>
      </w:r>
      <w:r w:rsidR="00CE6FF9">
        <w:rPr>
          <w:rFonts w:ascii="Times New Roman" w:eastAsia="Times New Roman" w:hAnsi="Times New Roman" w:cs="Times New Roman"/>
          <w:lang w:val="en-GB"/>
        </w:rPr>
        <w:t>2015</w:t>
      </w:r>
      <w:r w:rsidRPr="001E5F70">
        <w:rPr>
          <w:rFonts w:ascii="Times New Roman" w:eastAsia="Times New Roman" w:hAnsi="Times New Roman" w:cs="Times New Roman"/>
          <w:lang w:val="en-GB"/>
        </w:rPr>
        <w:t xml:space="preserve">: </w:t>
      </w:r>
      <w:r w:rsidR="00CE6FF9">
        <w:rPr>
          <w:rFonts w:ascii="Times New Roman" w:eastAsia="Times New Roman" w:hAnsi="Times New Roman" w:cs="Times New Roman"/>
          <w:lang w:val="en-GB"/>
        </w:rPr>
        <w:t>7,800,000</w:t>
      </w:r>
      <w:r w:rsidRPr="001E5F70">
        <w:rPr>
          <w:rFonts w:ascii="Times New Roman" w:eastAsia="Times New Roman" w:hAnsi="Times New Roman" w:cs="Times New Roman"/>
          <w:lang w:val="en-GB"/>
        </w:rPr>
        <w:t>) shares in escrow.  The release of these shares is subject to regulatory approval.</w:t>
      </w:r>
    </w:p>
    <w:p w:rsidR="0068511A" w:rsidRPr="001E5F70" w:rsidRDefault="0068511A" w:rsidP="00120E36">
      <w:pPr>
        <w:tabs>
          <w:tab w:val="left" w:pos="360"/>
          <w:tab w:val="left" w:pos="540"/>
          <w:tab w:val="left" w:pos="1080"/>
          <w:tab w:val="decimal" w:pos="9540"/>
        </w:tabs>
        <w:spacing w:after="0" w:line="240" w:lineRule="auto"/>
        <w:ind w:left="720"/>
        <w:jc w:val="both"/>
        <w:rPr>
          <w:rFonts w:ascii="Times New Roman" w:eastAsia="Times New Roman" w:hAnsi="Times New Roman" w:cs="Times New Roman"/>
          <w:lang w:val="en-GB"/>
        </w:rPr>
      </w:pPr>
    </w:p>
    <w:p w:rsidR="0068511A" w:rsidRPr="001E5F70" w:rsidRDefault="0068511A" w:rsidP="00120E36">
      <w:pPr>
        <w:tabs>
          <w:tab w:val="left" w:pos="-674"/>
          <w:tab w:val="left" w:pos="-270"/>
          <w:tab w:val="left" w:pos="360"/>
          <w:tab w:val="left" w:pos="54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jc w:val="both"/>
        <w:rPr>
          <w:rFonts w:ascii="Times New Roman" w:eastAsia="Times New Roman" w:hAnsi="Times New Roman" w:cs="Times New Roman"/>
          <w:b/>
          <w:lang w:val="en-GB"/>
        </w:rPr>
      </w:pPr>
      <w:r w:rsidRPr="001E5F70">
        <w:rPr>
          <w:rFonts w:ascii="Times New Roman" w:eastAsia="Times New Roman" w:hAnsi="Times New Roman" w:cs="Times New Roman"/>
          <w:b/>
          <w:lang w:val="en-GB"/>
        </w:rPr>
        <w:t>Subscription receivable and refundable</w:t>
      </w:r>
    </w:p>
    <w:p w:rsidR="0068511A" w:rsidRPr="001E5F70" w:rsidRDefault="0068511A" w:rsidP="00120E36">
      <w:pPr>
        <w:tabs>
          <w:tab w:val="left" w:pos="360"/>
          <w:tab w:val="left" w:pos="540"/>
          <w:tab w:val="left" w:pos="1080"/>
        </w:tabs>
        <w:spacing w:after="0" w:line="240" w:lineRule="auto"/>
        <w:ind w:left="720"/>
        <w:jc w:val="both"/>
        <w:rPr>
          <w:rFonts w:ascii="Times New Roman" w:eastAsia="Times New Roman" w:hAnsi="Times New Roman" w:cs="Times New Roman"/>
        </w:rPr>
      </w:pPr>
    </w:p>
    <w:p w:rsidR="00055B31" w:rsidRPr="00055B31" w:rsidRDefault="00055B31" w:rsidP="00055B31">
      <w:pPr>
        <w:tabs>
          <w:tab w:val="left" w:pos="720"/>
          <w:tab w:val="left" w:pos="1080"/>
        </w:tabs>
        <w:spacing w:after="0" w:line="240" w:lineRule="auto"/>
        <w:ind w:left="720" w:right="86"/>
        <w:jc w:val="both"/>
        <w:rPr>
          <w:rFonts w:ascii="Times New Roman" w:eastAsia="Times New Roman" w:hAnsi="Times New Roman" w:cs="Times New Roman"/>
        </w:rPr>
      </w:pPr>
      <w:r w:rsidRPr="00055B31">
        <w:rPr>
          <w:rFonts w:ascii="Times New Roman" w:eastAsia="Times New Roman" w:hAnsi="Times New Roman" w:cs="Times New Roman"/>
        </w:rPr>
        <w:t xml:space="preserve">As at </w:t>
      </w:r>
      <w:r w:rsidR="00ED5B7E">
        <w:rPr>
          <w:rFonts w:ascii="Times New Roman" w:eastAsia="Times New Roman" w:hAnsi="Times New Roman" w:cs="Times New Roman"/>
          <w:lang w:val="en-GB"/>
        </w:rPr>
        <w:t>December 31</w:t>
      </w:r>
      <w:r w:rsidRPr="00055B31">
        <w:rPr>
          <w:rFonts w:ascii="Times New Roman" w:eastAsia="Times New Roman" w:hAnsi="Times New Roman" w:cs="Times New Roman"/>
        </w:rPr>
        <w:t>, 2015, the Company had received subscriptions of $</w:t>
      </w:r>
      <w:r w:rsidR="000F338C">
        <w:rPr>
          <w:rFonts w:ascii="Times New Roman" w:eastAsia="Times New Roman" w:hAnsi="Times New Roman" w:cs="Times New Roman"/>
        </w:rPr>
        <w:t>26,900</w:t>
      </w:r>
      <w:r w:rsidRPr="00055B31">
        <w:rPr>
          <w:rFonts w:ascii="Times New Roman" w:eastAsia="Times New Roman" w:hAnsi="Times New Roman" w:cs="Times New Roman"/>
        </w:rPr>
        <w:t xml:space="preserve"> (</w:t>
      </w:r>
      <w:r w:rsidR="000F338C">
        <w:rPr>
          <w:rFonts w:ascii="Times New Roman" w:eastAsia="Times New Roman" w:hAnsi="Times New Roman" w:cs="Times New Roman"/>
        </w:rPr>
        <w:t>June 30, 2015</w:t>
      </w:r>
      <w:r w:rsidRPr="00055B31">
        <w:rPr>
          <w:rFonts w:ascii="Times New Roman" w:eastAsia="Times New Roman" w:hAnsi="Times New Roman" w:cs="Times New Roman"/>
        </w:rPr>
        <w:t>: $</w:t>
      </w:r>
      <w:r w:rsidR="000F338C">
        <w:rPr>
          <w:rFonts w:ascii="Times New Roman" w:eastAsia="Times New Roman" w:hAnsi="Times New Roman" w:cs="Times New Roman"/>
        </w:rPr>
        <w:t>127,500</w:t>
      </w:r>
      <w:r w:rsidRPr="00055B31">
        <w:rPr>
          <w:rFonts w:ascii="Times New Roman" w:eastAsia="Times New Roman" w:hAnsi="Times New Roman" w:cs="Times New Roman"/>
        </w:rPr>
        <w:t xml:space="preserve">). </w:t>
      </w:r>
      <w:r w:rsidR="000F338C">
        <w:rPr>
          <w:rFonts w:ascii="Times New Roman" w:eastAsia="Times New Roman" w:hAnsi="Times New Roman" w:cs="Times New Roman"/>
        </w:rPr>
        <w:t>T</w:t>
      </w:r>
      <w:r w:rsidRPr="00055B31">
        <w:rPr>
          <w:rFonts w:ascii="Times New Roman" w:eastAsia="Times New Roman" w:hAnsi="Times New Roman" w:cs="Times New Roman"/>
        </w:rPr>
        <w:t>his amount</w:t>
      </w:r>
      <w:r w:rsidR="000F338C">
        <w:rPr>
          <w:rFonts w:ascii="Times New Roman" w:eastAsia="Times New Roman" w:hAnsi="Times New Roman" w:cs="Times New Roman"/>
        </w:rPr>
        <w:t xml:space="preserve"> </w:t>
      </w:r>
      <w:r w:rsidRPr="00055B31">
        <w:rPr>
          <w:rFonts w:ascii="Times New Roman" w:eastAsia="Times New Roman" w:hAnsi="Times New Roman" w:cs="Times New Roman"/>
        </w:rPr>
        <w:t xml:space="preserve">relates to a private placement which was closed subsequent to </w:t>
      </w:r>
      <w:r w:rsidR="000F338C">
        <w:rPr>
          <w:rFonts w:ascii="Times New Roman" w:eastAsia="Times New Roman" w:hAnsi="Times New Roman" w:cs="Times New Roman"/>
        </w:rPr>
        <w:t>period</w:t>
      </w:r>
      <w:r w:rsidRPr="00055B31">
        <w:rPr>
          <w:rFonts w:ascii="Times New Roman" w:eastAsia="Times New Roman" w:hAnsi="Times New Roman" w:cs="Times New Roman"/>
        </w:rPr>
        <w:t xml:space="preserve"> end. </w:t>
      </w:r>
    </w:p>
    <w:p w:rsidR="00055B31" w:rsidRPr="00055B31" w:rsidRDefault="00055B31" w:rsidP="00055B31">
      <w:pPr>
        <w:tabs>
          <w:tab w:val="left" w:pos="720"/>
          <w:tab w:val="left" w:pos="1080"/>
        </w:tabs>
        <w:spacing w:after="0" w:line="240" w:lineRule="auto"/>
        <w:ind w:left="720" w:right="86"/>
        <w:jc w:val="both"/>
        <w:rPr>
          <w:rFonts w:ascii="Times New Roman" w:eastAsia="Times New Roman" w:hAnsi="Times New Roman" w:cs="Times New Roman"/>
        </w:rPr>
      </w:pPr>
    </w:p>
    <w:p w:rsidR="00055B31" w:rsidRPr="00055B31" w:rsidRDefault="00055B31" w:rsidP="00055B31">
      <w:pPr>
        <w:tabs>
          <w:tab w:val="left" w:pos="720"/>
          <w:tab w:val="left" w:pos="1080"/>
        </w:tabs>
        <w:spacing w:after="0" w:line="240" w:lineRule="auto"/>
        <w:ind w:left="720" w:right="86"/>
        <w:jc w:val="both"/>
        <w:rPr>
          <w:rFonts w:ascii="Times New Roman" w:eastAsia="Times New Roman" w:hAnsi="Times New Roman" w:cs="Times New Roman"/>
        </w:rPr>
      </w:pPr>
      <w:r w:rsidRPr="00055B31">
        <w:rPr>
          <w:rFonts w:ascii="Times New Roman" w:eastAsia="Times New Roman" w:hAnsi="Times New Roman" w:cs="Times New Roman"/>
        </w:rPr>
        <w:t xml:space="preserve">As at </w:t>
      </w:r>
      <w:r w:rsidR="00ED5B7E">
        <w:rPr>
          <w:rFonts w:ascii="Times New Roman" w:eastAsia="Times New Roman" w:hAnsi="Times New Roman" w:cs="Times New Roman"/>
          <w:lang w:val="en-GB"/>
        </w:rPr>
        <w:t>December 31</w:t>
      </w:r>
      <w:r w:rsidRPr="00055B31">
        <w:rPr>
          <w:rFonts w:ascii="Times New Roman" w:eastAsia="Times New Roman" w:hAnsi="Times New Roman" w:cs="Times New Roman"/>
        </w:rPr>
        <w:t>, 2015, the Company had a subscription refundable of $7,500 (</w:t>
      </w:r>
      <w:r w:rsidR="000F338C">
        <w:rPr>
          <w:rFonts w:ascii="Times New Roman" w:eastAsia="Times New Roman" w:hAnsi="Times New Roman" w:cs="Times New Roman"/>
        </w:rPr>
        <w:t>June 30, 2015</w:t>
      </w:r>
      <w:r w:rsidRPr="00055B31">
        <w:rPr>
          <w:rFonts w:ascii="Times New Roman" w:eastAsia="Times New Roman" w:hAnsi="Times New Roman" w:cs="Times New Roman"/>
        </w:rPr>
        <w:t>: $7,500). It has not been paid back to the subscriber.</w:t>
      </w:r>
    </w:p>
    <w:p w:rsidR="00D140F1" w:rsidRDefault="00D140F1"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p>
    <w:p w:rsidR="00E918A7" w:rsidRPr="001E5F70" w:rsidRDefault="000F338C"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Company </w:t>
      </w:r>
      <w:r w:rsidR="00DF684E">
        <w:rPr>
          <w:rFonts w:ascii="Times New Roman" w:eastAsia="Times New Roman" w:hAnsi="Times New Roman" w:cs="Times New Roman"/>
        </w:rPr>
        <w:t>granted 750,000 incentive stock options</w:t>
      </w:r>
      <w:r>
        <w:rPr>
          <w:rFonts w:ascii="Times New Roman" w:eastAsia="Times New Roman" w:hAnsi="Times New Roman" w:cs="Times New Roman"/>
        </w:rPr>
        <w:t xml:space="preserve"> during the period ended </w:t>
      </w:r>
      <w:r w:rsidR="00DF684E">
        <w:rPr>
          <w:rFonts w:ascii="Times New Roman" w:eastAsia="Times New Roman" w:hAnsi="Times New Roman" w:cs="Times New Roman"/>
        </w:rPr>
        <w:t>December 31</w:t>
      </w:r>
      <w:r>
        <w:rPr>
          <w:rFonts w:ascii="Times New Roman" w:eastAsia="Times New Roman" w:hAnsi="Times New Roman" w:cs="Times New Roman"/>
        </w:rPr>
        <w:t>, 2015</w:t>
      </w:r>
      <w:r w:rsidR="00DF684E">
        <w:rPr>
          <w:rFonts w:ascii="Times New Roman" w:eastAsia="Times New Roman" w:hAnsi="Times New Roman" w:cs="Times New Roman"/>
        </w:rPr>
        <w:t>, which are exercisable for a term of five years at an exercise price of $0.20 per share</w:t>
      </w:r>
      <w:r>
        <w:rPr>
          <w:rFonts w:ascii="Times New Roman" w:eastAsia="Times New Roman" w:hAnsi="Times New Roman" w:cs="Times New Roman"/>
        </w:rPr>
        <w:t xml:space="preserve">. </w:t>
      </w:r>
      <w:r w:rsidR="00E918A7" w:rsidRPr="001E5F70">
        <w:rPr>
          <w:rFonts w:ascii="Times New Roman" w:eastAsia="Times New Roman" w:hAnsi="Times New Roman" w:cs="Times New Roman"/>
        </w:rPr>
        <w:t xml:space="preserve">As of the date hereof, there are </w:t>
      </w:r>
      <w:r>
        <w:rPr>
          <w:rFonts w:ascii="Times New Roman" w:eastAsia="Times New Roman" w:hAnsi="Times New Roman" w:cs="Times New Roman"/>
        </w:rPr>
        <w:t>4,250,000</w:t>
      </w:r>
      <w:r w:rsidR="00E918A7" w:rsidRPr="001E5F70">
        <w:rPr>
          <w:rFonts w:ascii="Times New Roman" w:eastAsia="Times New Roman" w:hAnsi="Times New Roman" w:cs="Times New Roman"/>
        </w:rPr>
        <w:t xml:space="preserve"> incentive stock options outstanding. </w:t>
      </w:r>
    </w:p>
    <w:p w:rsidR="00E918A7" w:rsidRPr="001E5F70" w:rsidRDefault="00E918A7" w:rsidP="00120E36">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p>
    <w:p w:rsidR="00D140F1" w:rsidRPr="001E5F70" w:rsidRDefault="00D140F1" w:rsidP="00D140F1">
      <w:pPr>
        <w:tabs>
          <w:tab w:val="left" w:pos="360"/>
          <w:tab w:val="left" w:pos="720"/>
          <w:tab w:val="left" w:pos="1080"/>
          <w:tab w:val="decimal" w:pos="9540"/>
        </w:tabs>
        <w:spacing w:after="0" w:line="240" w:lineRule="auto"/>
        <w:ind w:left="720"/>
        <w:jc w:val="both"/>
        <w:rPr>
          <w:rFonts w:ascii="Times New Roman" w:eastAsia="Times New Roman" w:hAnsi="Times New Roman" w:cs="Times New Roman"/>
        </w:rPr>
      </w:pPr>
      <w:r w:rsidRPr="001E5F70">
        <w:rPr>
          <w:rFonts w:ascii="Times New Roman" w:eastAsia="Times New Roman" w:hAnsi="Times New Roman" w:cs="Times New Roman"/>
        </w:rPr>
        <w:t xml:space="preserve">During the </w:t>
      </w:r>
      <w:r w:rsidR="000F338C">
        <w:rPr>
          <w:rFonts w:ascii="Times New Roman" w:eastAsia="Times New Roman" w:hAnsi="Times New Roman" w:cs="Times New Roman"/>
        </w:rPr>
        <w:t>period</w:t>
      </w:r>
      <w:r w:rsidRPr="001E5F70">
        <w:rPr>
          <w:rFonts w:ascii="Times New Roman" w:eastAsia="Times New Roman" w:hAnsi="Times New Roman" w:cs="Times New Roman"/>
        </w:rPr>
        <w:t xml:space="preserve"> ended </w:t>
      </w:r>
      <w:r w:rsidR="00DF684E">
        <w:rPr>
          <w:rFonts w:ascii="Times New Roman" w:eastAsia="Times New Roman" w:hAnsi="Times New Roman" w:cs="Times New Roman"/>
        </w:rPr>
        <w:t>December 31</w:t>
      </w:r>
      <w:r>
        <w:rPr>
          <w:rFonts w:ascii="Times New Roman" w:eastAsia="Times New Roman" w:hAnsi="Times New Roman" w:cs="Times New Roman"/>
        </w:rPr>
        <w:t>, 2015</w:t>
      </w:r>
      <w:r w:rsidRPr="001E5F70">
        <w:rPr>
          <w:rFonts w:ascii="Times New Roman" w:eastAsia="Times New Roman" w:hAnsi="Times New Roman" w:cs="Times New Roman"/>
        </w:rPr>
        <w:t xml:space="preserve">, the Company </w:t>
      </w:r>
      <w:r w:rsidR="000F338C">
        <w:rPr>
          <w:rFonts w:ascii="Times New Roman" w:eastAsia="Times New Roman" w:hAnsi="Times New Roman" w:cs="Times New Roman"/>
        </w:rPr>
        <w:t>issued</w:t>
      </w:r>
      <w:r w:rsidRPr="001E5F70">
        <w:rPr>
          <w:rFonts w:ascii="Times New Roman" w:eastAsia="Times New Roman" w:hAnsi="Times New Roman" w:cs="Times New Roman"/>
        </w:rPr>
        <w:t xml:space="preserve"> </w:t>
      </w:r>
      <w:r w:rsidR="00DF684E">
        <w:rPr>
          <w:rFonts w:ascii="Times New Roman" w:eastAsia="Times New Roman" w:hAnsi="Times New Roman" w:cs="Times New Roman"/>
        </w:rPr>
        <w:t>3,456,830</w:t>
      </w:r>
      <w:r w:rsidRPr="001E5F70">
        <w:rPr>
          <w:rFonts w:ascii="Times New Roman" w:eastAsia="Times New Roman" w:hAnsi="Times New Roman" w:cs="Times New Roman"/>
        </w:rPr>
        <w:t xml:space="preserve"> </w:t>
      </w:r>
      <w:r>
        <w:rPr>
          <w:rFonts w:ascii="Times New Roman" w:eastAsia="Times New Roman" w:hAnsi="Times New Roman" w:cs="Times New Roman"/>
        </w:rPr>
        <w:t>share purchase warrants</w:t>
      </w:r>
      <w:r w:rsidR="00DF684E">
        <w:rPr>
          <w:rFonts w:ascii="Times New Roman" w:eastAsia="Times New Roman" w:hAnsi="Times New Roman" w:cs="Times New Roman"/>
        </w:rPr>
        <w:t>. 1,306,830 of said warrants are exercisable</w:t>
      </w:r>
      <w:r w:rsidRPr="001E5F70">
        <w:rPr>
          <w:rFonts w:ascii="Times New Roman" w:eastAsia="Times New Roman" w:hAnsi="Times New Roman" w:cs="Times New Roman"/>
        </w:rPr>
        <w:t xml:space="preserve"> at an exercise price of $0.</w:t>
      </w:r>
      <w:r w:rsidR="000F338C">
        <w:rPr>
          <w:rFonts w:ascii="Times New Roman" w:eastAsia="Times New Roman" w:hAnsi="Times New Roman" w:cs="Times New Roman"/>
        </w:rPr>
        <w:t>30</w:t>
      </w:r>
      <w:r w:rsidRPr="001E5F70">
        <w:rPr>
          <w:rFonts w:ascii="Times New Roman" w:eastAsia="Times New Roman" w:hAnsi="Times New Roman" w:cs="Times New Roman"/>
        </w:rPr>
        <w:t xml:space="preserve"> per share for a period of </w:t>
      </w:r>
      <w:r>
        <w:rPr>
          <w:rFonts w:ascii="Times New Roman" w:eastAsia="Times New Roman" w:hAnsi="Times New Roman" w:cs="Times New Roman"/>
        </w:rPr>
        <w:t>two</w:t>
      </w:r>
      <w:r w:rsidRPr="001E5F70">
        <w:rPr>
          <w:rFonts w:ascii="Times New Roman" w:eastAsia="Times New Roman" w:hAnsi="Times New Roman" w:cs="Times New Roman"/>
        </w:rPr>
        <w:t xml:space="preserve"> years</w:t>
      </w:r>
      <w:r w:rsidR="00DF684E">
        <w:rPr>
          <w:rFonts w:ascii="Times New Roman" w:eastAsia="Times New Roman" w:hAnsi="Times New Roman" w:cs="Times New Roman"/>
        </w:rPr>
        <w:t>, and 2,150,000 of said warrants are exercisable at an exercise price of $0.15 for a period of two years</w:t>
      </w:r>
      <w:r w:rsidRPr="001E5F70">
        <w:rPr>
          <w:rFonts w:ascii="Times New Roman" w:eastAsia="Times New Roman" w:hAnsi="Times New Roman" w:cs="Times New Roman"/>
        </w:rPr>
        <w:t xml:space="preserve">. </w:t>
      </w:r>
      <w:r w:rsidR="00ED5B7E">
        <w:rPr>
          <w:rFonts w:ascii="Times New Roman" w:eastAsia="Times New Roman" w:hAnsi="Times New Roman" w:cs="Times New Roman"/>
        </w:rPr>
        <w:t xml:space="preserve">During the same period, 140,333 warrants were exercised for gross proceeds of $41,213. </w:t>
      </w:r>
      <w:r w:rsidR="00CE74A2">
        <w:rPr>
          <w:rFonts w:ascii="Times New Roman" w:eastAsia="Times New Roman" w:hAnsi="Times New Roman" w:cs="Times New Roman"/>
        </w:rPr>
        <w:t xml:space="preserve">As at </w:t>
      </w:r>
      <w:r w:rsidR="00DF684E">
        <w:rPr>
          <w:rFonts w:ascii="Times New Roman" w:eastAsia="Times New Roman" w:hAnsi="Times New Roman" w:cs="Times New Roman"/>
        </w:rPr>
        <w:t>December 31</w:t>
      </w:r>
      <w:r w:rsidR="00CE74A2">
        <w:rPr>
          <w:rFonts w:ascii="Times New Roman" w:eastAsia="Times New Roman" w:hAnsi="Times New Roman" w:cs="Times New Roman"/>
        </w:rPr>
        <w:t xml:space="preserve">, 2015, there were </w:t>
      </w:r>
      <w:r w:rsidR="00ED5B7E">
        <w:rPr>
          <w:rFonts w:ascii="Times New Roman" w:eastAsia="Times New Roman" w:hAnsi="Times New Roman" w:cs="Times New Roman"/>
        </w:rPr>
        <w:t>7,881,497</w:t>
      </w:r>
      <w:r w:rsidR="00CE74A2">
        <w:rPr>
          <w:rFonts w:ascii="Times New Roman" w:eastAsia="Times New Roman" w:hAnsi="Times New Roman" w:cs="Times New Roman"/>
        </w:rPr>
        <w:t xml:space="preserve"> share purchase warrants outstanding. </w:t>
      </w:r>
      <w:r w:rsidRPr="001E5F70">
        <w:rPr>
          <w:rFonts w:ascii="Times New Roman" w:eastAsia="Times New Roman" w:hAnsi="Times New Roman" w:cs="Times New Roman"/>
        </w:rPr>
        <w:t xml:space="preserve">As of the date hereof, there are </w:t>
      </w:r>
      <w:r w:rsidR="00ED5B7E">
        <w:rPr>
          <w:rFonts w:ascii="Times New Roman" w:eastAsia="Times New Roman" w:hAnsi="Times New Roman" w:cs="Times New Roman"/>
        </w:rPr>
        <w:t>7,881,497</w:t>
      </w:r>
      <w:r w:rsidRPr="001E5F70">
        <w:rPr>
          <w:rFonts w:ascii="Times New Roman" w:eastAsia="Times New Roman" w:hAnsi="Times New Roman" w:cs="Times New Roman"/>
        </w:rPr>
        <w:t xml:space="preserve"> </w:t>
      </w:r>
      <w:r>
        <w:rPr>
          <w:rFonts w:ascii="Times New Roman" w:eastAsia="Times New Roman" w:hAnsi="Times New Roman" w:cs="Times New Roman"/>
        </w:rPr>
        <w:t>share purchase warrants</w:t>
      </w:r>
      <w:r w:rsidRPr="001E5F70">
        <w:rPr>
          <w:rFonts w:ascii="Times New Roman" w:eastAsia="Times New Roman" w:hAnsi="Times New Roman" w:cs="Times New Roman"/>
        </w:rPr>
        <w:t xml:space="preserve"> outstanding. </w:t>
      </w:r>
    </w:p>
    <w:p w:rsidR="00495ABF" w:rsidRPr="00253C6F" w:rsidRDefault="00495ABF" w:rsidP="00120E36">
      <w:pPr>
        <w:widowControl w:val="0"/>
        <w:tabs>
          <w:tab w:val="center" w:pos="4776"/>
        </w:tabs>
        <w:autoSpaceDE w:val="0"/>
        <w:autoSpaceDN w:val="0"/>
        <w:adjustRightInd w:val="0"/>
        <w:spacing w:after="0" w:line="240" w:lineRule="auto"/>
        <w:ind w:left="720"/>
        <w:jc w:val="both"/>
        <w:rPr>
          <w:rFonts w:ascii="Times New Roman" w:eastAsia="Times New Roman" w:hAnsi="Times New Roman" w:cs="Times New Roman"/>
          <w:lang w:val="en-GB"/>
        </w:rPr>
      </w:pPr>
    </w:p>
    <w:p w:rsidR="00253C6F" w:rsidRPr="00253C6F" w:rsidRDefault="007828F1" w:rsidP="00120E36">
      <w:pPr>
        <w:spacing w:after="0" w:line="240" w:lineRule="auto"/>
        <w:rPr>
          <w:rFonts w:ascii="Times New Roman" w:eastAsia="Times New Roman" w:hAnsi="Times New Roman" w:cs="Times New Roman"/>
          <w:b/>
        </w:rPr>
      </w:pPr>
      <w:r>
        <w:rPr>
          <w:rFonts w:ascii="Times New Roman" w:eastAsia="Times New Roman" w:hAnsi="Times New Roman" w:cs="Times New Roman"/>
          <w:bCs/>
        </w:rPr>
        <w:t>1.9</w:t>
      </w:r>
      <w:r w:rsidR="00253C6F" w:rsidRPr="00253C6F">
        <w:rPr>
          <w:rFonts w:ascii="Times New Roman" w:eastAsia="Times New Roman" w:hAnsi="Times New Roman" w:cs="Times New Roman"/>
          <w:b/>
        </w:rPr>
        <w:tab/>
      </w:r>
      <w:r w:rsidR="00253C6F" w:rsidRPr="000478CE">
        <w:rPr>
          <w:rFonts w:ascii="Times New Roman" w:eastAsia="Times New Roman" w:hAnsi="Times New Roman" w:cs="Times New Roman"/>
          <w:b/>
          <w:u w:val="single"/>
        </w:rPr>
        <w:t>Financing</w:t>
      </w:r>
    </w:p>
    <w:p w:rsidR="00253C6F" w:rsidRPr="00253C6F" w:rsidRDefault="00253C6F" w:rsidP="00120E36">
      <w:pPr>
        <w:spacing w:after="0" w:line="240" w:lineRule="auto"/>
        <w:rPr>
          <w:rFonts w:ascii="Times New Roman" w:eastAsia="Times New Roman" w:hAnsi="Times New Roman" w:cs="Times New Roman"/>
        </w:rPr>
      </w:pPr>
    </w:p>
    <w:p w:rsidR="00253C6F" w:rsidRDefault="00495ABF" w:rsidP="00120E36">
      <w:pPr>
        <w:widowControl w:val="0"/>
        <w:autoSpaceDE w:val="0"/>
        <w:autoSpaceDN w:val="0"/>
        <w:adjustRightInd w:val="0"/>
        <w:spacing w:after="0" w:line="240" w:lineRule="auto"/>
        <w:ind w:left="720"/>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There were </w:t>
      </w:r>
      <w:r w:rsidR="00ED5B7E">
        <w:rPr>
          <w:rFonts w:ascii="Times New Roman" w:eastAsia="Times New Roman" w:hAnsi="Times New Roman" w:cs="Times New Roman"/>
          <w:iCs/>
          <w:lang w:val="en-US"/>
        </w:rPr>
        <w:t>4,250,000</w:t>
      </w:r>
      <w:r w:rsidR="00E918A7">
        <w:rPr>
          <w:rFonts w:ascii="Times New Roman" w:eastAsia="Times New Roman" w:hAnsi="Times New Roman" w:cs="Times New Roman"/>
          <w:iCs/>
          <w:lang w:val="en-US"/>
        </w:rPr>
        <w:t xml:space="preserve"> incentive stock options issued and outstanding as at </w:t>
      </w:r>
      <w:r w:rsidR="00ED5B7E">
        <w:rPr>
          <w:rFonts w:ascii="Times New Roman" w:eastAsia="Times New Roman" w:hAnsi="Times New Roman" w:cs="Times New Roman"/>
          <w:iCs/>
          <w:lang w:val="en-US"/>
        </w:rPr>
        <w:t>December 31</w:t>
      </w:r>
      <w:r>
        <w:rPr>
          <w:rFonts w:ascii="Times New Roman" w:eastAsia="Times New Roman" w:hAnsi="Times New Roman" w:cs="Times New Roman"/>
          <w:iCs/>
          <w:lang w:val="en-US"/>
        </w:rPr>
        <w:t>, 2015</w:t>
      </w:r>
      <w:r w:rsidR="001E5F70">
        <w:rPr>
          <w:rFonts w:ascii="Times New Roman" w:eastAsia="Times New Roman" w:hAnsi="Times New Roman" w:cs="Times New Roman"/>
          <w:iCs/>
          <w:lang w:val="en-US"/>
        </w:rPr>
        <w:t xml:space="preserve">, </w:t>
      </w:r>
      <w:r>
        <w:rPr>
          <w:rFonts w:ascii="Times New Roman" w:eastAsia="Times New Roman" w:hAnsi="Times New Roman" w:cs="Times New Roman"/>
          <w:iCs/>
          <w:lang w:val="en-US"/>
        </w:rPr>
        <w:t xml:space="preserve">and </w:t>
      </w:r>
      <w:r w:rsidR="00CE74A2">
        <w:rPr>
          <w:rFonts w:ascii="Times New Roman" w:eastAsia="Times New Roman" w:hAnsi="Times New Roman" w:cs="Times New Roman"/>
          <w:iCs/>
          <w:lang w:val="en-US"/>
        </w:rPr>
        <w:t xml:space="preserve">4,250,000 incentive stock options issued and outstanding </w:t>
      </w:r>
      <w:r w:rsidR="001E5F70">
        <w:rPr>
          <w:rFonts w:ascii="Times New Roman" w:eastAsia="Times New Roman" w:hAnsi="Times New Roman" w:cs="Times New Roman"/>
          <w:lang w:val="en-GB"/>
        </w:rPr>
        <w:t>as at the date hereof</w:t>
      </w:r>
      <w:r w:rsidR="001E5F70">
        <w:rPr>
          <w:rFonts w:ascii="Times New Roman" w:eastAsia="Times New Roman" w:hAnsi="Times New Roman" w:cs="Times New Roman"/>
          <w:iCs/>
          <w:lang w:val="en-US"/>
        </w:rPr>
        <w:t>.</w:t>
      </w:r>
    </w:p>
    <w:p w:rsidR="00D140F1" w:rsidRDefault="00D140F1" w:rsidP="00120E36">
      <w:pPr>
        <w:widowControl w:val="0"/>
        <w:autoSpaceDE w:val="0"/>
        <w:autoSpaceDN w:val="0"/>
        <w:adjustRightInd w:val="0"/>
        <w:spacing w:after="0" w:line="240" w:lineRule="auto"/>
        <w:ind w:left="720"/>
        <w:jc w:val="both"/>
        <w:rPr>
          <w:rFonts w:ascii="Times New Roman" w:eastAsia="Times New Roman" w:hAnsi="Times New Roman" w:cs="Times New Roman"/>
          <w:iCs/>
          <w:lang w:val="en-US"/>
        </w:rPr>
      </w:pPr>
    </w:p>
    <w:p w:rsidR="00D140F1" w:rsidRPr="00253C6F" w:rsidRDefault="00D140F1" w:rsidP="00D140F1">
      <w:pPr>
        <w:widowControl w:val="0"/>
        <w:autoSpaceDE w:val="0"/>
        <w:autoSpaceDN w:val="0"/>
        <w:adjustRightInd w:val="0"/>
        <w:spacing w:after="0" w:line="240" w:lineRule="auto"/>
        <w:ind w:left="720"/>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There were </w:t>
      </w:r>
      <w:r w:rsidR="00ED5B7E">
        <w:rPr>
          <w:rFonts w:ascii="Times New Roman" w:eastAsia="Times New Roman" w:hAnsi="Times New Roman" w:cs="Times New Roman"/>
          <w:iCs/>
          <w:lang w:val="en-US"/>
        </w:rPr>
        <w:t>7,881,497</w:t>
      </w:r>
      <w:r>
        <w:rPr>
          <w:rFonts w:ascii="Times New Roman" w:eastAsia="Times New Roman" w:hAnsi="Times New Roman" w:cs="Times New Roman"/>
          <w:iCs/>
          <w:lang w:val="en-US"/>
        </w:rPr>
        <w:t xml:space="preserve"> share purchase warrants issued and outstanding as at </w:t>
      </w:r>
      <w:r w:rsidR="00ED5B7E">
        <w:rPr>
          <w:rFonts w:ascii="Times New Roman" w:eastAsia="Times New Roman" w:hAnsi="Times New Roman" w:cs="Times New Roman"/>
          <w:iCs/>
          <w:lang w:val="en-US"/>
        </w:rPr>
        <w:t>December 31, 2015</w:t>
      </w:r>
      <w:r>
        <w:rPr>
          <w:rFonts w:ascii="Times New Roman" w:eastAsia="Times New Roman" w:hAnsi="Times New Roman" w:cs="Times New Roman"/>
          <w:iCs/>
          <w:lang w:val="en-US"/>
        </w:rPr>
        <w:t xml:space="preserve">, </w:t>
      </w:r>
      <w:r w:rsidR="00495ABF">
        <w:rPr>
          <w:rFonts w:ascii="Times New Roman" w:eastAsia="Times New Roman" w:hAnsi="Times New Roman" w:cs="Times New Roman"/>
          <w:iCs/>
          <w:lang w:val="en-US"/>
        </w:rPr>
        <w:t xml:space="preserve">and </w:t>
      </w:r>
      <w:r w:rsidR="00ED5B7E">
        <w:rPr>
          <w:rFonts w:ascii="Times New Roman" w:eastAsia="Times New Roman" w:hAnsi="Times New Roman" w:cs="Times New Roman"/>
          <w:iCs/>
          <w:lang w:val="en-US"/>
        </w:rPr>
        <w:t>7,881,497</w:t>
      </w:r>
      <w:r w:rsidR="00495ABF">
        <w:rPr>
          <w:rFonts w:ascii="Times New Roman" w:eastAsia="Times New Roman" w:hAnsi="Times New Roman" w:cs="Times New Roman"/>
          <w:iCs/>
          <w:lang w:val="en-US"/>
        </w:rPr>
        <w:t xml:space="preserve"> share purchase warrants issued and outstanding </w:t>
      </w:r>
      <w:r>
        <w:rPr>
          <w:rFonts w:ascii="Times New Roman" w:eastAsia="Times New Roman" w:hAnsi="Times New Roman" w:cs="Times New Roman"/>
          <w:lang w:val="en-GB"/>
        </w:rPr>
        <w:t>as at the date hereof</w:t>
      </w:r>
      <w:r>
        <w:rPr>
          <w:rFonts w:ascii="Times New Roman" w:eastAsia="Times New Roman" w:hAnsi="Times New Roman" w:cs="Times New Roman"/>
          <w:iCs/>
          <w:lang w:val="en-US"/>
        </w:rPr>
        <w:t>.</w:t>
      </w:r>
      <w:r w:rsidR="003F5BD9">
        <w:rPr>
          <w:rFonts w:ascii="Times New Roman" w:eastAsia="Times New Roman" w:hAnsi="Times New Roman" w:cs="Times New Roman"/>
          <w:iCs/>
          <w:lang w:val="en-US"/>
        </w:rPr>
        <w:t xml:space="preserve"> </w:t>
      </w:r>
    </w:p>
    <w:p w:rsidR="00253C6F" w:rsidRDefault="00253C6F" w:rsidP="00253C6F">
      <w:pPr>
        <w:spacing w:after="0" w:line="240" w:lineRule="auto"/>
        <w:ind w:left="675" w:right="-360"/>
        <w:jc w:val="both"/>
        <w:rPr>
          <w:rFonts w:ascii="Times New Roman" w:eastAsia="Times New Roman" w:hAnsi="Times New Roman" w:cs="Times New Roman"/>
        </w:rPr>
      </w:pPr>
    </w:p>
    <w:p w:rsidR="00495ABF" w:rsidRDefault="00495ABF" w:rsidP="00495ABF">
      <w:pPr>
        <w:spacing w:after="0" w:line="260" w:lineRule="atLeast"/>
        <w:ind w:left="720" w:right="43"/>
        <w:jc w:val="both"/>
        <w:rPr>
          <w:rFonts w:ascii="Times New Roman" w:hAnsi="Times New Roman" w:cs="Times New Roman"/>
          <w:spacing w:val="-2"/>
        </w:rPr>
      </w:pPr>
      <w:r w:rsidRPr="00D140F1">
        <w:rPr>
          <w:rFonts w:ascii="Times New Roman" w:hAnsi="Times New Roman" w:cs="Times New Roman"/>
          <w:spacing w:val="-2"/>
        </w:rPr>
        <w:t xml:space="preserve">On </w:t>
      </w:r>
      <w:r>
        <w:rPr>
          <w:rFonts w:ascii="Times New Roman" w:hAnsi="Times New Roman" w:cs="Times New Roman"/>
          <w:spacing w:val="-2"/>
        </w:rPr>
        <w:t>July 7, 2015</w:t>
      </w:r>
      <w:r w:rsidRPr="00D140F1">
        <w:rPr>
          <w:rFonts w:ascii="Times New Roman" w:hAnsi="Times New Roman" w:cs="Times New Roman"/>
          <w:spacing w:val="-2"/>
        </w:rPr>
        <w:t xml:space="preserve">, the Company completed a private placement of </w:t>
      </w:r>
      <w:r>
        <w:rPr>
          <w:rFonts w:ascii="Times New Roman" w:hAnsi="Times New Roman" w:cs="Times New Roman"/>
          <w:spacing w:val="-2"/>
        </w:rPr>
        <w:t>836,831</w:t>
      </w:r>
      <w:r w:rsidRPr="00D140F1">
        <w:rPr>
          <w:rFonts w:ascii="Times New Roman" w:hAnsi="Times New Roman" w:cs="Times New Roman"/>
          <w:spacing w:val="-2"/>
        </w:rPr>
        <w:t xml:space="preserve"> units at $0.</w:t>
      </w:r>
      <w:r>
        <w:rPr>
          <w:rFonts w:ascii="Times New Roman" w:hAnsi="Times New Roman" w:cs="Times New Roman"/>
          <w:spacing w:val="-2"/>
        </w:rPr>
        <w:t>15</w:t>
      </w:r>
      <w:r w:rsidRPr="00D140F1">
        <w:rPr>
          <w:rFonts w:ascii="Times New Roman" w:hAnsi="Times New Roman" w:cs="Times New Roman"/>
          <w:spacing w:val="-2"/>
        </w:rPr>
        <w:t xml:space="preserve"> per unit for total proceeds of $</w:t>
      </w:r>
      <w:r>
        <w:rPr>
          <w:rFonts w:ascii="Times New Roman" w:hAnsi="Times New Roman" w:cs="Times New Roman"/>
          <w:spacing w:val="-2"/>
        </w:rPr>
        <w:t>125,525</w:t>
      </w:r>
      <w:r w:rsidRPr="00D140F1">
        <w:rPr>
          <w:rFonts w:ascii="Times New Roman" w:hAnsi="Times New Roman" w:cs="Times New Roman"/>
          <w:spacing w:val="-2"/>
        </w:rPr>
        <w:t>. Each unit consists of one common share and one share purchase warrant entitling the holder to purchase an additional share at $0.</w:t>
      </w:r>
      <w:r>
        <w:rPr>
          <w:rFonts w:ascii="Times New Roman" w:hAnsi="Times New Roman" w:cs="Times New Roman"/>
          <w:spacing w:val="-2"/>
        </w:rPr>
        <w:t>30</w:t>
      </w:r>
      <w:r w:rsidRPr="00D140F1">
        <w:rPr>
          <w:rFonts w:ascii="Times New Roman" w:hAnsi="Times New Roman" w:cs="Times New Roman"/>
          <w:spacing w:val="-2"/>
        </w:rPr>
        <w:t xml:space="preserve"> per share until </w:t>
      </w:r>
      <w:r>
        <w:rPr>
          <w:rFonts w:ascii="Times New Roman" w:hAnsi="Times New Roman" w:cs="Times New Roman"/>
          <w:spacing w:val="-2"/>
        </w:rPr>
        <w:t>July 7</w:t>
      </w:r>
      <w:r w:rsidRPr="00D140F1">
        <w:rPr>
          <w:rFonts w:ascii="Times New Roman" w:hAnsi="Times New Roman" w:cs="Times New Roman"/>
          <w:spacing w:val="-2"/>
        </w:rPr>
        <w:t xml:space="preserve">, 2017. </w:t>
      </w:r>
    </w:p>
    <w:p w:rsidR="00495ABF" w:rsidRDefault="00495ABF" w:rsidP="00D140F1">
      <w:pPr>
        <w:spacing w:after="0" w:line="260" w:lineRule="atLeast"/>
        <w:ind w:left="720" w:right="43"/>
        <w:jc w:val="both"/>
        <w:rPr>
          <w:rFonts w:ascii="Times New Roman" w:hAnsi="Times New Roman" w:cs="Times New Roman"/>
          <w:spacing w:val="-2"/>
        </w:rPr>
      </w:pPr>
    </w:p>
    <w:p w:rsidR="00495ABF" w:rsidRDefault="00495ABF" w:rsidP="00495ABF">
      <w:pPr>
        <w:spacing w:after="0" w:line="260" w:lineRule="atLeast"/>
        <w:ind w:left="720" w:right="43"/>
        <w:jc w:val="both"/>
        <w:rPr>
          <w:rFonts w:ascii="Times New Roman" w:hAnsi="Times New Roman" w:cs="Times New Roman"/>
          <w:spacing w:val="-2"/>
        </w:rPr>
      </w:pPr>
      <w:r w:rsidRPr="00D140F1">
        <w:rPr>
          <w:rFonts w:ascii="Times New Roman" w:hAnsi="Times New Roman" w:cs="Times New Roman"/>
          <w:spacing w:val="-2"/>
        </w:rPr>
        <w:t xml:space="preserve">On </w:t>
      </w:r>
      <w:r>
        <w:rPr>
          <w:rFonts w:ascii="Times New Roman" w:hAnsi="Times New Roman" w:cs="Times New Roman"/>
          <w:spacing w:val="-2"/>
        </w:rPr>
        <w:t>September 4, 2015</w:t>
      </w:r>
      <w:r w:rsidRPr="00D140F1">
        <w:rPr>
          <w:rFonts w:ascii="Times New Roman" w:hAnsi="Times New Roman" w:cs="Times New Roman"/>
          <w:spacing w:val="-2"/>
        </w:rPr>
        <w:t xml:space="preserve">, the Company completed a private placement of </w:t>
      </w:r>
      <w:r>
        <w:rPr>
          <w:rFonts w:ascii="Times New Roman" w:hAnsi="Times New Roman" w:cs="Times New Roman"/>
          <w:spacing w:val="-2"/>
        </w:rPr>
        <w:t>300,999</w:t>
      </w:r>
      <w:r w:rsidRPr="00D140F1">
        <w:rPr>
          <w:rFonts w:ascii="Times New Roman" w:hAnsi="Times New Roman" w:cs="Times New Roman"/>
          <w:spacing w:val="-2"/>
        </w:rPr>
        <w:t xml:space="preserve"> units at $0.</w:t>
      </w:r>
      <w:r>
        <w:rPr>
          <w:rFonts w:ascii="Times New Roman" w:hAnsi="Times New Roman" w:cs="Times New Roman"/>
          <w:spacing w:val="-2"/>
        </w:rPr>
        <w:t>15</w:t>
      </w:r>
      <w:r w:rsidRPr="00D140F1">
        <w:rPr>
          <w:rFonts w:ascii="Times New Roman" w:hAnsi="Times New Roman" w:cs="Times New Roman"/>
          <w:spacing w:val="-2"/>
        </w:rPr>
        <w:t xml:space="preserve"> per unit for total proceeds of $</w:t>
      </w:r>
      <w:r>
        <w:rPr>
          <w:rFonts w:ascii="Times New Roman" w:hAnsi="Times New Roman" w:cs="Times New Roman"/>
          <w:spacing w:val="-2"/>
        </w:rPr>
        <w:t>45,150</w:t>
      </w:r>
      <w:r w:rsidRPr="00D140F1">
        <w:rPr>
          <w:rFonts w:ascii="Times New Roman" w:hAnsi="Times New Roman" w:cs="Times New Roman"/>
          <w:spacing w:val="-2"/>
        </w:rPr>
        <w:t>. Each unit consists of one common share and one share purchase warrant entitling the holder to purchase an additional share at $0.</w:t>
      </w:r>
      <w:r>
        <w:rPr>
          <w:rFonts w:ascii="Times New Roman" w:hAnsi="Times New Roman" w:cs="Times New Roman"/>
          <w:spacing w:val="-2"/>
        </w:rPr>
        <w:t>30</w:t>
      </w:r>
      <w:r w:rsidRPr="00D140F1">
        <w:rPr>
          <w:rFonts w:ascii="Times New Roman" w:hAnsi="Times New Roman" w:cs="Times New Roman"/>
          <w:spacing w:val="-2"/>
        </w:rPr>
        <w:t xml:space="preserve"> per share until </w:t>
      </w:r>
      <w:r>
        <w:rPr>
          <w:rFonts w:ascii="Times New Roman" w:hAnsi="Times New Roman" w:cs="Times New Roman"/>
          <w:spacing w:val="-2"/>
        </w:rPr>
        <w:t>September 4, 2017</w:t>
      </w:r>
      <w:r w:rsidRPr="00D140F1">
        <w:rPr>
          <w:rFonts w:ascii="Times New Roman" w:hAnsi="Times New Roman" w:cs="Times New Roman"/>
          <w:spacing w:val="-2"/>
        </w:rPr>
        <w:t xml:space="preserve">. </w:t>
      </w:r>
    </w:p>
    <w:p w:rsidR="00CE74A2" w:rsidRDefault="00CE74A2" w:rsidP="00495ABF">
      <w:pPr>
        <w:spacing w:after="0" w:line="260" w:lineRule="atLeast"/>
        <w:ind w:left="720" w:right="43"/>
        <w:jc w:val="both"/>
        <w:rPr>
          <w:rFonts w:ascii="Times New Roman" w:hAnsi="Times New Roman" w:cs="Times New Roman"/>
          <w:spacing w:val="-2"/>
        </w:rPr>
      </w:pPr>
    </w:p>
    <w:p w:rsidR="00CE74A2" w:rsidRDefault="00CE74A2" w:rsidP="00CE74A2">
      <w:pPr>
        <w:spacing w:after="0" w:line="260" w:lineRule="atLeast"/>
        <w:ind w:left="720" w:right="43"/>
        <w:jc w:val="both"/>
        <w:rPr>
          <w:rFonts w:ascii="Times New Roman" w:hAnsi="Times New Roman" w:cs="Times New Roman"/>
          <w:spacing w:val="-2"/>
        </w:rPr>
      </w:pPr>
      <w:r w:rsidRPr="00D140F1">
        <w:rPr>
          <w:rFonts w:ascii="Times New Roman" w:hAnsi="Times New Roman" w:cs="Times New Roman"/>
          <w:spacing w:val="-2"/>
        </w:rPr>
        <w:t xml:space="preserve">On </w:t>
      </w:r>
      <w:r>
        <w:rPr>
          <w:rFonts w:ascii="Times New Roman" w:hAnsi="Times New Roman" w:cs="Times New Roman"/>
          <w:spacing w:val="-2"/>
        </w:rPr>
        <w:t>October 29, 2015</w:t>
      </w:r>
      <w:r w:rsidRPr="00D140F1">
        <w:rPr>
          <w:rFonts w:ascii="Times New Roman" w:hAnsi="Times New Roman" w:cs="Times New Roman"/>
          <w:spacing w:val="-2"/>
        </w:rPr>
        <w:t xml:space="preserve">, the Company completed a private placement of </w:t>
      </w:r>
      <w:r>
        <w:rPr>
          <w:rFonts w:ascii="Times New Roman" w:hAnsi="Times New Roman" w:cs="Times New Roman"/>
          <w:spacing w:val="-2"/>
        </w:rPr>
        <w:t>2,150,000</w:t>
      </w:r>
      <w:r w:rsidRPr="00D140F1">
        <w:rPr>
          <w:rFonts w:ascii="Times New Roman" w:hAnsi="Times New Roman" w:cs="Times New Roman"/>
          <w:spacing w:val="-2"/>
        </w:rPr>
        <w:t xml:space="preserve"> units at $0.</w:t>
      </w:r>
      <w:r>
        <w:rPr>
          <w:rFonts w:ascii="Times New Roman" w:hAnsi="Times New Roman" w:cs="Times New Roman"/>
          <w:spacing w:val="-2"/>
        </w:rPr>
        <w:t>10</w:t>
      </w:r>
      <w:r w:rsidRPr="00D140F1">
        <w:rPr>
          <w:rFonts w:ascii="Times New Roman" w:hAnsi="Times New Roman" w:cs="Times New Roman"/>
          <w:spacing w:val="-2"/>
        </w:rPr>
        <w:t xml:space="preserve"> per unit for total proceeds of $</w:t>
      </w:r>
      <w:r>
        <w:rPr>
          <w:rFonts w:ascii="Times New Roman" w:hAnsi="Times New Roman" w:cs="Times New Roman"/>
          <w:spacing w:val="-2"/>
        </w:rPr>
        <w:t>215,000</w:t>
      </w:r>
      <w:r w:rsidRPr="00D140F1">
        <w:rPr>
          <w:rFonts w:ascii="Times New Roman" w:hAnsi="Times New Roman" w:cs="Times New Roman"/>
          <w:spacing w:val="-2"/>
        </w:rPr>
        <w:t>. Each unit consists of one common share and one share purchase warrant entitling the holder to purchase an additional share at $0.</w:t>
      </w:r>
      <w:r>
        <w:rPr>
          <w:rFonts w:ascii="Times New Roman" w:hAnsi="Times New Roman" w:cs="Times New Roman"/>
          <w:spacing w:val="-2"/>
        </w:rPr>
        <w:t>15</w:t>
      </w:r>
      <w:r w:rsidRPr="00D140F1">
        <w:rPr>
          <w:rFonts w:ascii="Times New Roman" w:hAnsi="Times New Roman" w:cs="Times New Roman"/>
          <w:spacing w:val="-2"/>
        </w:rPr>
        <w:t xml:space="preserve"> per share until </w:t>
      </w:r>
      <w:r>
        <w:rPr>
          <w:rFonts w:ascii="Times New Roman" w:hAnsi="Times New Roman" w:cs="Times New Roman"/>
          <w:spacing w:val="-2"/>
        </w:rPr>
        <w:t>October 29, 2017</w:t>
      </w:r>
      <w:r w:rsidRPr="00D140F1">
        <w:rPr>
          <w:rFonts w:ascii="Times New Roman" w:hAnsi="Times New Roman" w:cs="Times New Roman"/>
          <w:spacing w:val="-2"/>
        </w:rPr>
        <w:t xml:space="preserve">. </w:t>
      </w:r>
    </w:p>
    <w:p w:rsidR="00495ABF" w:rsidRPr="00D140F1" w:rsidRDefault="00495ABF" w:rsidP="00D140F1">
      <w:pPr>
        <w:spacing w:after="0" w:line="260" w:lineRule="atLeast"/>
        <w:ind w:left="720" w:right="43"/>
        <w:jc w:val="both"/>
        <w:rPr>
          <w:rFonts w:ascii="Times New Roman" w:hAnsi="Times New Roman" w:cs="Times New Roman"/>
          <w:spacing w:val="-2"/>
        </w:rPr>
      </w:pPr>
    </w:p>
    <w:p w:rsidR="00253C6F" w:rsidRPr="00253C6F" w:rsidRDefault="007828F1" w:rsidP="00253C6F">
      <w:pPr>
        <w:keepNext/>
        <w:keepLines/>
        <w:tabs>
          <w:tab w:val="left" w:pos="-1440"/>
        </w:tabs>
        <w:spacing w:after="0" w:line="240" w:lineRule="auto"/>
        <w:ind w:left="720" w:right="-360" w:hanging="720"/>
        <w:jc w:val="both"/>
        <w:rPr>
          <w:rFonts w:ascii="Times New Roman" w:eastAsia="Times New Roman" w:hAnsi="Times New Roman" w:cs="Times New Roman"/>
        </w:rPr>
      </w:pPr>
      <w:r>
        <w:rPr>
          <w:rFonts w:ascii="Times New Roman" w:eastAsia="Times New Roman" w:hAnsi="Times New Roman" w:cs="Times New Roman"/>
        </w:rPr>
        <w:t>1.10</w:t>
      </w:r>
      <w:r w:rsidR="00253C6F" w:rsidRPr="00253C6F">
        <w:rPr>
          <w:rFonts w:ascii="Times New Roman" w:eastAsia="Times New Roman" w:hAnsi="Times New Roman" w:cs="Times New Roman"/>
        </w:rPr>
        <w:tab/>
      </w:r>
      <w:r w:rsidR="00253C6F" w:rsidRPr="000478CE">
        <w:rPr>
          <w:rFonts w:ascii="Times New Roman" w:eastAsia="Times New Roman" w:hAnsi="Times New Roman" w:cs="Times New Roman"/>
          <w:b/>
          <w:bCs/>
          <w:u w:val="single"/>
        </w:rPr>
        <w:t>Proposed Transactions</w:t>
      </w:r>
    </w:p>
    <w:p w:rsidR="00253C6F" w:rsidRPr="00253C6F" w:rsidRDefault="00253C6F" w:rsidP="00253C6F">
      <w:pPr>
        <w:keepNext/>
        <w:keepLines/>
        <w:spacing w:after="0" w:line="240" w:lineRule="auto"/>
        <w:ind w:firstLine="720"/>
        <w:jc w:val="both"/>
        <w:rPr>
          <w:rFonts w:ascii="Times New Roman" w:eastAsia="Times New Roman" w:hAnsi="Times New Roman" w:cs="Times New Roman"/>
        </w:rPr>
      </w:pPr>
    </w:p>
    <w:p w:rsidR="00253C6F" w:rsidRPr="00253C6F" w:rsidRDefault="00253C6F" w:rsidP="00253C6F">
      <w:pPr>
        <w:keepNext/>
        <w:keepLines/>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There are no proposed transactions at the date of this report.</w:t>
      </w:r>
    </w:p>
    <w:p w:rsidR="00253C6F" w:rsidRPr="00253C6F" w:rsidRDefault="00253C6F" w:rsidP="00253C6F">
      <w:pPr>
        <w:tabs>
          <w:tab w:val="left" w:pos="-1440"/>
        </w:tabs>
        <w:spacing w:after="0" w:line="240" w:lineRule="auto"/>
        <w:ind w:left="720" w:hanging="720"/>
        <w:jc w:val="both"/>
        <w:rPr>
          <w:rFonts w:ascii="Times New Roman" w:eastAsia="Times New Roman" w:hAnsi="Times New Roman" w:cs="Times New Roman"/>
        </w:rPr>
      </w:pPr>
    </w:p>
    <w:p w:rsidR="00253C6F" w:rsidRPr="00253C6F" w:rsidRDefault="007828F1" w:rsidP="000478CE">
      <w:pPr>
        <w:keepNext/>
        <w:keepLines/>
        <w:tabs>
          <w:tab w:val="left" w:pos="720"/>
        </w:tabs>
        <w:spacing w:after="0" w:line="240" w:lineRule="auto"/>
        <w:rPr>
          <w:rFonts w:ascii="Times New Roman" w:eastAsia="Times New Roman" w:hAnsi="Times New Roman" w:cs="Times New Roman"/>
          <w:bCs/>
          <w:lang w:bidi="fa-IR"/>
        </w:rPr>
      </w:pPr>
      <w:r>
        <w:rPr>
          <w:rFonts w:ascii="Times New Roman" w:eastAsia="Times New Roman" w:hAnsi="Times New Roman" w:cs="Times New Roman"/>
        </w:rPr>
        <w:lastRenderedPageBreak/>
        <w:t>1.11</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lang w:bidi="fa-IR"/>
        </w:rPr>
        <w:t>Future accounting changes</w:t>
      </w:r>
    </w:p>
    <w:p w:rsidR="00253C6F" w:rsidRPr="00253C6F" w:rsidRDefault="00253C6F" w:rsidP="000478CE">
      <w:pPr>
        <w:keepNext/>
        <w:keepLines/>
        <w:tabs>
          <w:tab w:val="left" w:pos="360"/>
          <w:tab w:val="left" w:pos="720"/>
          <w:tab w:val="left" w:pos="1080"/>
        </w:tabs>
        <w:spacing w:after="0" w:line="240" w:lineRule="auto"/>
        <w:ind w:right="-360"/>
        <w:jc w:val="right"/>
        <w:rPr>
          <w:rFonts w:ascii="Times New Roman" w:eastAsia="Times New Roman" w:hAnsi="Times New Roman" w:cs="Times New Roman"/>
          <w:lang w:bidi="fa-IR"/>
        </w:rPr>
      </w:pPr>
    </w:p>
    <w:p w:rsidR="00253C6F" w:rsidRPr="00253C6F" w:rsidRDefault="00253C6F" w:rsidP="000478CE">
      <w:pPr>
        <w:keepNext/>
        <w:keepLines/>
        <w:autoSpaceDE w:val="0"/>
        <w:autoSpaceDN w:val="0"/>
        <w:adjustRightInd w:val="0"/>
        <w:spacing w:after="120" w:line="240" w:lineRule="auto"/>
        <w:ind w:left="720"/>
        <w:jc w:val="both"/>
        <w:rPr>
          <w:rFonts w:ascii="Times New Roman" w:eastAsia="Times New Roman" w:hAnsi="Times New Roman" w:cs="Times New Roman"/>
          <w:iCs/>
          <w:color w:val="000000"/>
          <w:u w:val="single"/>
          <w:lang w:val="en-US" w:bidi="fa-IR"/>
        </w:rPr>
      </w:pPr>
      <w:r w:rsidRPr="00253C6F">
        <w:rPr>
          <w:rFonts w:ascii="Times New Roman" w:eastAsia="Times New Roman" w:hAnsi="Times New Roman" w:cs="Times New Roman"/>
          <w:iCs/>
          <w:color w:val="000000"/>
          <w:u w:val="single"/>
          <w:lang w:val="en-US" w:bidi="fa-IR"/>
        </w:rPr>
        <w:t xml:space="preserve">International financial reporting standards </w:t>
      </w:r>
    </w:p>
    <w:p w:rsidR="00253C6F" w:rsidRPr="00253C6F" w:rsidRDefault="00253C6F" w:rsidP="00120E36">
      <w:pPr>
        <w:keepNext/>
        <w:keepLines/>
        <w:autoSpaceDE w:val="0"/>
        <w:autoSpaceDN w:val="0"/>
        <w:adjustRightInd w:val="0"/>
        <w:spacing w:after="120" w:line="240" w:lineRule="auto"/>
        <w:ind w:left="720"/>
        <w:jc w:val="both"/>
        <w:rPr>
          <w:rFonts w:ascii="Times New Roman" w:eastAsia="Times New Roman" w:hAnsi="Times New Roman" w:cs="Times New Roman"/>
          <w:lang w:val="en-US" w:bidi="fa-IR"/>
        </w:rPr>
      </w:pPr>
      <w:r w:rsidRPr="00253C6F">
        <w:rPr>
          <w:rFonts w:ascii="Times New Roman" w:eastAsia="Times New Roman" w:hAnsi="Times New Roman" w:cs="Times New Roman"/>
          <w:color w:val="000000"/>
          <w:lang w:val="en-US" w:bidi="fa-IR"/>
        </w:rPr>
        <w:t xml:space="preserve">In 2006, the Canadian Accounting Standards Board (“AcSB”) published a new strategic plan that will significantly affect financial reporting requirements for Canadian companies. The AcSB strategic plan outlines the convergence of Canadian generally accepted accounting principles with IFRS over an expected five year transitional period.   In February 2008, the AcSB announced that 2011 is the changeover date for publicly-listed companies to use IFRS, replacing Canada’s own generally accepted accounting principles. The date is for interim and annual financial statements relating to fiscal years beginning on or after January 1, 2011. The transition date of January 1, 2011 requires the restatement for comparative purposes of amounts reported by the Company for the year ended </w:t>
      </w:r>
      <w:r w:rsidRPr="00253C6F">
        <w:rPr>
          <w:rFonts w:ascii="Times New Roman" w:eastAsia="Times New Roman" w:hAnsi="Times New Roman" w:cs="Times New Roman"/>
          <w:lang w:val="en-US" w:bidi="fa-IR"/>
        </w:rPr>
        <w:t>June 30, 2011.</w:t>
      </w:r>
    </w:p>
    <w:p w:rsidR="00253C6F" w:rsidRPr="00253C6F" w:rsidRDefault="00253C6F" w:rsidP="00120E36">
      <w:pPr>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The Company has carried out a line-by-line review of its financial statements and assessed IFRS and its adoption for 2011, and it is management’s opinion that, with the possible exception of additional notes and possible format changes, the financial reporting impact of the transition to IFRS will not cause significant changes in the preparation and presentation of the Company’s financial statements.</w:t>
      </w:r>
    </w:p>
    <w:p w:rsidR="00120E36" w:rsidRDefault="00253C6F" w:rsidP="00120E36">
      <w:pPr>
        <w:autoSpaceDE w:val="0"/>
        <w:autoSpaceDN w:val="0"/>
        <w:adjustRightInd w:val="0"/>
        <w:spacing w:after="0" w:line="240" w:lineRule="auto"/>
        <w:ind w:left="720"/>
        <w:jc w:val="both"/>
        <w:rPr>
          <w:rFonts w:ascii="Times New Roman" w:eastAsia="Times New Roman" w:hAnsi="Times New Roman" w:cs="Times New Roman"/>
          <w:iCs/>
          <w:color w:val="000000"/>
          <w:u w:val="single"/>
          <w:lang w:val="en-US" w:bidi="fa-IR"/>
        </w:rPr>
      </w:pPr>
      <w:r w:rsidRPr="00253C6F">
        <w:rPr>
          <w:rFonts w:ascii="Times New Roman" w:eastAsia="Times New Roman" w:hAnsi="Times New Roman" w:cs="Times New Roman"/>
          <w:iCs/>
          <w:color w:val="000000"/>
          <w:u w:val="single"/>
          <w:lang w:val="en-US" w:bidi="fa-IR"/>
        </w:rPr>
        <w:t xml:space="preserve">Business combination, consolidated financial statements and non-controlling interest </w:t>
      </w:r>
    </w:p>
    <w:p w:rsidR="00120E36" w:rsidRPr="00253C6F" w:rsidRDefault="00120E36" w:rsidP="00120E36">
      <w:pPr>
        <w:autoSpaceDE w:val="0"/>
        <w:autoSpaceDN w:val="0"/>
        <w:adjustRightInd w:val="0"/>
        <w:spacing w:after="0" w:line="240" w:lineRule="auto"/>
        <w:ind w:left="720"/>
        <w:jc w:val="both"/>
        <w:rPr>
          <w:rFonts w:ascii="Times New Roman" w:eastAsia="Times New Roman" w:hAnsi="Times New Roman" w:cs="Times New Roman"/>
          <w:iCs/>
          <w:color w:val="000000"/>
          <w:u w:val="single"/>
          <w:lang w:val="en-US" w:bidi="fa-IR"/>
        </w:rPr>
      </w:pPr>
    </w:p>
    <w:p w:rsidR="00253C6F" w:rsidRPr="00253C6F" w:rsidRDefault="00253C6F" w:rsidP="00120E36">
      <w:pPr>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 xml:space="preserve">The CICA issued three new accounting standards in January 2009: Section 1582, Business Combinations, Section 1601, Consolidated Financial Statements and Section 1602, Non-Controlling Interests. These new standards will be effective for fiscal years beginning on or after January 1, 2011. Section 1582 replaces sections 1581 and establishes standards for the accounting for a business combination. It provides the Canadian equivalent to International Financial Reporting Standards IFRS 3 – Business Combinations. The section applies prospectively to business combinations for which the acquisition date is on or after the beginning of the first annual reporting period beginning on or after January 1, 2011. </w:t>
      </w:r>
    </w:p>
    <w:p w:rsidR="00266CFF" w:rsidRDefault="00253C6F" w:rsidP="00266CFF">
      <w:pPr>
        <w:autoSpaceDE w:val="0"/>
        <w:autoSpaceDN w:val="0"/>
        <w:adjustRightInd w:val="0"/>
        <w:spacing w:after="12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 xml:space="preserve">Sections 1601 and 1602 together replace section 1600, Consolidated Financial Statements. Section 1601, establishes standards for the preparations of consolidated financial statements. Section 1601 applies to interim and annual consolidated financial statements relating to fiscal years beginning on or after January 1, 2011. Section 1602 establishes standards for accounting for a non-controlling interest in a subsidiary in consolidated financial statements subsequent to a business combination. It is equivalent </w:t>
      </w:r>
    </w:p>
    <w:p w:rsidR="00266CFF" w:rsidRPr="00266CFF" w:rsidRDefault="00266CFF" w:rsidP="00266CFF">
      <w:pPr>
        <w:autoSpaceDE w:val="0"/>
        <w:autoSpaceDN w:val="0"/>
        <w:adjustRightInd w:val="0"/>
        <w:spacing w:after="0" w:line="240" w:lineRule="auto"/>
        <w:ind w:left="720"/>
        <w:jc w:val="both"/>
        <w:rPr>
          <w:rFonts w:ascii="Times New Roman" w:eastAsia="Times New Roman" w:hAnsi="Times New Roman" w:cs="Times New Roman"/>
          <w:color w:val="000000"/>
          <w:sz w:val="12"/>
          <w:szCs w:val="12"/>
          <w:lang w:val="en-US" w:bidi="fa-IR"/>
        </w:rPr>
      </w:pPr>
    </w:p>
    <w:p w:rsidR="00253C6F" w:rsidRPr="00253C6F" w:rsidRDefault="00253C6F" w:rsidP="00266CFF">
      <w:pPr>
        <w:autoSpaceDE w:val="0"/>
        <w:autoSpaceDN w:val="0"/>
        <w:adjustRightInd w:val="0"/>
        <w:spacing w:after="0" w:line="240" w:lineRule="auto"/>
        <w:ind w:left="720"/>
        <w:jc w:val="both"/>
        <w:rPr>
          <w:rFonts w:ascii="Times New Roman" w:eastAsia="Times New Roman" w:hAnsi="Times New Roman" w:cs="Times New Roman"/>
          <w:color w:val="000000"/>
          <w:lang w:val="en-US" w:bidi="fa-IR"/>
        </w:rPr>
      </w:pPr>
      <w:r w:rsidRPr="00253C6F">
        <w:rPr>
          <w:rFonts w:ascii="Times New Roman" w:eastAsia="Times New Roman" w:hAnsi="Times New Roman" w:cs="Times New Roman"/>
          <w:color w:val="000000"/>
          <w:lang w:val="en-US" w:bidi="fa-IR"/>
        </w:rPr>
        <w:t>to the corresponding provisions of International Financial Reporting Standards IAS 27 – Consolidated and Separate Financial Statements and applies to interim and annual consolidated financial statements relating to fiscal years beginning on or after January 1, 2011. The Company is assessing the impact of these new accounting standards on its financial statements.</w:t>
      </w:r>
    </w:p>
    <w:p w:rsidR="00253C6F" w:rsidRPr="00253C6F" w:rsidRDefault="00253C6F" w:rsidP="00253C6F">
      <w:pPr>
        <w:spacing w:after="0" w:line="240" w:lineRule="auto"/>
        <w:rPr>
          <w:rFonts w:ascii="Times New Roman" w:eastAsia="MS Mincho" w:hAnsi="Times New Roman" w:cs="Times New Roman"/>
          <w:bCs/>
        </w:rPr>
      </w:pPr>
    </w:p>
    <w:p w:rsidR="00253C6F" w:rsidRPr="00253C6F" w:rsidRDefault="007828F1" w:rsidP="00253C6F">
      <w:pPr>
        <w:spacing w:after="0" w:line="240" w:lineRule="auto"/>
        <w:rPr>
          <w:rFonts w:ascii="Times New Roman" w:eastAsia="MS Mincho" w:hAnsi="Times New Roman" w:cs="Times New Roman"/>
          <w:b/>
        </w:rPr>
      </w:pPr>
      <w:r>
        <w:rPr>
          <w:rFonts w:ascii="Times New Roman" w:eastAsia="MS Mincho" w:hAnsi="Times New Roman" w:cs="Times New Roman"/>
          <w:bCs/>
        </w:rPr>
        <w:t>1.12</w:t>
      </w:r>
      <w:r w:rsidR="00253C6F" w:rsidRPr="00253C6F">
        <w:rPr>
          <w:rFonts w:ascii="Times New Roman" w:eastAsia="MS Mincho" w:hAnsi="Times New Roman" w:cs="Times New Roman"/>
          <w:b/>
        </w:rPr>
        <w:tab/>
      </w:r>
      <w:r w:rsidR="00253C6F" w:rsidRPr="00253C6F">
        <w:rPr>
          <w:rFonts w:ascii="Times New Roman" w:eastAsia="MS Mincho" w:hAnsi="Times New Roman" w:cs="Times New Roman"/>
          <w:b/>
          <w:u w:val="single"/>
        </w:rPr>
        <w:t>Forward Looking Statements</w:t>
      </w:r>
    </w:p>
    <w:p w:rsidR="00253C6F" w:rsidRPr="00253C6F" w:rsidRDefault="00253C6F" w:rsidP="00253C6F">
      <w:pPr>
        <w:spacing w:after="0" w:line="240" w:lineRule="auto"/>
        <w:rPr>
          <w:rFonts w:ascii="Times New Roman" w:eastAsia="MS Mincho" w:hAnsi="Times New Roman" w:cs="Times New Roman"/>
        </w:rPr>
      </w:pPr>
    </w:p>
    <w:p w:rsidR="00253C6F" w:rsidRPr="00253C6F" w:rsidRDefault="00253C6F" w:rsidP="00266CFF">
      <w:pPr>
        <w:autoSpaceDE w:val="0"/>
        <w:autoSpaceDN w:val="0"/>
        <w:adjustRightInd w:val="0"/>
        <w:spacing w:after="0" w:line="240" w:lineRule="auto"/>
        <w:ind w:left="720"/>
        <w:jc w:val="both"/>
        <w:rPr>
          <w:rFonts w:ascii="Times New Roman" w:eastAsia="Calibri" w:hAnsi="Times New Roman" w:cs="Times New Roman"/>
          <w:lang w:val="en-US" w:bidi="fa-IR"/>
        </w:rPr>
      </w:pPr>
      <w:r w:rsidRPr="00253C6F">
        <w:rPr>
          <w:rFonts w:ascii="Times New Roman" w:eastAsia="Calibri" w:hAnsi="Times New Roman" w:cs="Times New Roman"/>
          <w:lang w:val="en-US" w:bidi="fa-IR"/>
        </w:rPr>
        <w:t xml:space="preserve">Statements throughout this MD&amp;A that are not historical facts may be considered “forward-looking statements.” Some of the statements contained herein including, without limitation, financial and business prospects and financial outlooks may be forward-looking statements which reflect management’s expectations regarding future plans and intentions, </w:t>
      </w:r>
      <w:r w:rsidRPr="00253C6F">
        <w:rPr>
          <w:rFonts w:ascii="Times New Roman" w:eastAsia="Calibri" w:hAnsi="Times New Roman" w:cs="Times New Roman"/>
          <w:lang w:val="en-US" w:bidi="fa-IR"/>
        </w:rPr>
        <w:lastRenderedPageBreak/>
        <w:t>growth, results of operations, performance and business prospects and opportunities. Words such as “may”, “will”, “should”, “could”, “anticipate”, “believe”, “expect”, “intend”, “plan”, “potential”, “continue” and similar expressions have been used to identify these forward-looking statements. These statements reflect management’s current beliefs and are based on information currently available to management.</w:t>
      </w:r>
    </w:p>
    <w:p w:rsidR="00253C6F" w:rsidRPr="00253C6F" w:rsidRDefault="00253C6F" w:rsidP="00120E36">
      <w:pPr>
        <w:autoSpaceDE w:val="0"/>
        <w:autoSpaceDN w:val="0"/>
        <w:adjustRightInd w:val="0"/>
        <w:spacing w:after="0" w:line="240" w:lineRule="auto"/>
        <w:ind w:left="720"/>
        <w:rPr>
          <w:rFonts w:ascii="Times" w:eastAsia="Calibri" w:hAnsi="Times" w:cs="Times"/>
          <w:lang w:val="en-US" w:bidi="fa-IR"/>
        </w:rPr>
      </w:pPr>
    </w:p>
    <w:p w:rsidR="00253C6F" w:rsidRPr="00253C6F" w:rsidRDefault="00253C6F" w:rsidP="00120E36">
      <w:pPr>
        <w:autoSpaceDE w:val="0"/>
        <w:autoSpaceDN w:val="0"/>
        <w:adjustRightInd w:val="0"/>
        <w:spacing w:after="0" w:line="240" w:lineRule="auto"/>
        <w:ind w:left="720"/>
        <w:jc w:val="both"/>
        <w:rPr>
          <w:rFonts w:ascii="Times New Roman" w:eastAsia="Calibri" w:hAnsi="Times New Roman" w:cs="Times New Roman"/>
          <w:lang w:val="en-US" w:bidi="fa-IR"/>
        </w:rPr>
      </w:pPr>
      <w:r w:rsidRPr="00253C6F">
        <w:rPr>
          <w:rFonts w:ascii="Times New Roman" w:eastAsia="Calibri" w:hAnsi="Times New Roman" w:cs="Times New Roman"/>
          <w:lang w:val="en-US" w:bidi="fa-IR"/>
        </w:rPr>
        <w:t>Readers are cautioned not to place undue reliance on these forward-looking statements as the Company’s actual results, performance or achievements may differ materially from any future results, performance or achievements expressed or implied by such forward-looking statements if known or unknown risks, uncertainties or other factors affect the Company's business, or if the Company’s estimates or assumptions prove inaccurate. Therefore, the Company cannot provide any assurance that forward-looking statements will materialize.</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rPr>
          <w:rFonts w:ascii="Times New Roman" w:eastAsia="Times New Roman" w:hAnsi="Times New Roman" w:cs="Times New Roman"/>
          <w:lang w:bidi="fa-IR"/>
        </w:rPr>
      </w:pPr>
      <w:r w:rsidRPr="00253C6F">
        <w:rPr>
          <w:rFonts w:ascii="Times New Roman" w:eastAsia="Times New Roman" w:hAnsi="Times New Roman" w:cs="Times New Roman"/>
          <w:lang w:bidi="fa-IR"/>
        </w:rPr>
        <w:t>In particular, this MD&amp;A contains forward-looking statements pertaining to the following:</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(i) </w:t>
      </w:r>
      <w:r w:rsidRPr="00253C6F">
        <w:rPr>
          <w:rFonts w:ascii="Times New Roman" w:eastAsia="Times New Roman" w:hAnsi="Times New Roman" w:cs="Times New Roman"/>
          <w:lang w:bidi="fa-IR"/>
        </w:rPr>
        <w:tab/>
        <w:t>projections of market prices and costs;</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(ii)</w:t>
      </w:r>
      <w:r w:rsidRPr="00253C6F">
        <w:rPr>
          <w:rFonts w:ascii="Times New Roman" w:eastAsia="Times New Roman" w:hAnsi="Times New Roman" w:cs="Times New Roman"/>
          <w:lang w:bidi="fa-IR"/>
        </w:rPr>
        <w:tab/>
        <w:t>expectations regarding the ability to raise capital and to conduct exploration and      development; and</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(iii) </w:t>
      </w:r>
      <w:r w:rsidRPr="00253C6F">
        <w:rPr>
          <w:rFonts w:ascii="Times New Roman" w:eastAsia="Times New Roman" w:hAnsi="Times New Roman" w:cs="Times New Roman"/>
          <w:lang w:bidi="fa-IR"/>
        </w:rPr>
        <w:tab/>
        <w:t>expectations regarding recoverability of loan to Suntech and Suntech’s ability to raise financing by going public.</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jc w:val="both"/>
        <w:rPr>
          <w:rFonts w:ascii="Times New Roman" w:eastAsia="Times New Roman" w:hAnsi="Times New Roman" w:cs="Times New Roman"/>
          <w:lang w:bidi="fa-IR"/>
        </w:rPr>
      </w:pPr>
      <w:r w:rsidRPr="00253C6F">
        <w:rPr>
          <w:rFonts w:ascii="Times New Roman" w:eastAsia="Times New Roman" w:hAnsi="Times New Roman" w:cs="Times New Roman"/>
          <w:lang w:bidi="fa-IR"/>
        </w:rPr>
        <w:t>The material assumptions that were applied in making the forward-looking statements in this MD&amp;A include the execution of the Company’s existing plans with respect to Suntech which may change due to changes in the views of the Company or if new information arises which make it prudent to change such plans.</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53C6F" w:rsidRDefault="00253C6F" w:rsidP="00120E36">
      <w:pPr>
        <w:spacing w:after="0" w:line="240" w:lineRule="auto"/>
        <w:ind w:left="720"/>
        <w:jc w:val="both"/>
        <w:rPr>
          <w:rFonts w:ascii="Times New Roman" w:eastAsia="Times New Roman" w:hAnsi="Times New Roman" w:cs="Times New Roman"/>
          <w:lang w:bidi="fa-IR"/>
        </w:rPr>
      </w:pPr>
      <w:r w:rsidRPr="00253C6F">
        <w:rPr>
          <w:rFonts w:ascii="Times New Roman" w:eastAsia="Times New Roman" w:hAnsi="Times New Roman" w:cs="Times New Roman"/>
          <w:lang w:bidi="fa-IR"/>
        </w:rPr>
        <w:t>The actual results could differ materially from those anticipated in these forward-looking statements as a result of the risk factors set forth below and elsewhere in this MD&amp;A, which could materially affect the valuation of the company’s marketable securities</w:t>
      </w:r>
      <w:r w:rsidR="00266CFF">
        <w:rPr>
          <w:rFonts w:ascii="Times New Roman" w:eastAsia="Times New Roman" w:hAnsi="Times New Roman" w:cs="Times New Roman"/>
          <w:lang w:bidi="fa-IR"/>
        </w:rPr>
        <w:t>:</w:t>
      </w:r>
    </w:p>
    <w:p w:rsidR="00253C6F" w:rsidRPr="00253C6F" w:rsidRDefault="00253C6F" w:rsidP="00120E36">
      <w:pPr>
        <w:spacing w:after="0" w:line="240" w:lineRule="auto"/>
        <w:ind w:left="720"/>
        <w:rPr>
          <w:rFonts w:ascii="Times New Roman" w:eastAsia="Times New Roman" w:hAnsi="Times New Roman" w:cs="Times New Roman"/>
          <w:lang w:bidi="fa-IR"/>
        </w:rPr>
      </w:pPr>
    </w:p>
    <w:p w:rsidR="00253C6F" w:rsidRPr="00266CFF" w:rsidRDefault="00253C6F" w:rsidP="00266CFF">
      <w:pPr>
        <w:pStyle w:val="ListParagraph"/>
        <w:numPr>
          <w:ilvl w:val="0"/>
          <w:numId w:val="8"/>
        </w:numPr>
        <w:spacing w:after="0" w:line="240" w:lineRule="auto"/>
        <w:rPr>
          <w:rFonts w:ascii="Times New Roman" w:eastAsia="Times New Roman" w:hAnsi="Times New Roman" w:cs="Times New Roman"/>
          <w:lang w:bidi="fa-IR"/>
        </w:rPr>
      </w:pPr>
      <w:r w:rsidRPr="00266CFF">
        <w:rPr>
          <w:rFonts w:ascii="Times New Roman" w:eastAsia="Times New Roman" w:hAnsi="Times New Roman" w:cs="Times New Roman"/>
          <w:lang w:bidi="fa-IR"/>
        </w:rPr>
        <w:t>volatility in market prices for oil and natural gas;</w:t>
      </w:r>
    </w:p>
    <w:p w:rsidR="00253C6F" w:rsidRPr="00253C6F" w:rsidRDefault="00253C6F" w:rsidP="00120E36">
      <w:pPr>
        <w:spacing w:after="0" w:line="240" w:lineRule="auto"/>
        <w:ind w:left="720"/>
        <w:rPr>
          <w:rFonts w:ascii="Times New Roman" w:eastAsia="Times New Roman" w:hAnsi="Times New Roman" w:cs="Times New Roman"/>
          <w:sz w:val="20"/>
          <w:szCs w:val="24"/>
          <w:lang w:bidi="fa-IR"/>
        </w:rPr>
      </w:pPr>
      <w:r w:rsidRPr="00253C6F">
        <w:rPr>
          <w:rFonts w:ascii="Times New Roman" w:eastAsia="Times New Roman" w:hAnsi="Times New Roman" w:cs="Times New Roman"/>
          <w:lang w:bidi="fa-IR"/>
        </w:rPr>
        <w:t xml:space="preserve">(ii) </w:t>
      </w:r>
      <w:r w:rsidRPr="00253C6F">
        <w:rPr>
          <w:rFonts w:ascii="Times New Roman" w:eastAsia="Times New Roman" w:hAnsi="Times New Roman" w:cs="Times New Roman"/>
          <w:lang w:bidi="fa-IR"/>
        </w:rPr>
        <w:tab/>
        <w:t>liabilities inherent in oil and natural gas operations;</w:t>
      </w:r>
    </w:p>
    <w:p w:rsidR="00253C6F" w:rsidRPr="00253C6F" w:rsidRDefault="00253C6F" w:rsidP="00120E36">
      <w:pPr>
        <w:autoSpaceDE w:val="0"/>
        <w:autoSpaceDN w:val="0"/>
        <w:adjustRightInd w:val="0"/>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(iii) </w:t>
      </w:r>
      <w:r w:rsidRPr="00253C6F">
        <w:rPr>
          <w:rFonts w:ascii="Times New Roman" w:eastAsia="Times New Roman" w:hAnsi="Times New Roman" w:cs="Times New Roman"/>
          <w:lang w:bidi="fa-IR"/>
        </w:rPr>
        <w:tab/>
        <w:t>uncertainties associated with estimating oil and natural gas reserves competition for, among other things, capital, acquisitions of reserves, undeveloped lands and skilled personnel;</w:t>
      </w:r>
    </w:p>
    <w:p w:rsidR="00253C6F" w:rsidRPr="00253C6F" w:rsidRDefault="00253C6F" w:rsidP="00120E36">
      <w:pPr>
        <w:spacing w:after="0" w:line="240" w:lineRule="auto"/>
        <w:ind w:left="1440" w:hanging="720"/>
        <w:jc w:val="both"/>
        <w:rPr>
          <w:rFonts w:ascii="Times New Roman" w:eastAsia="Times New Roman" w:hAnsi="Times New Roman" w:cs="Times New Roman"/>
          <w:lang w:val="en-US" w:bidi="fa-IR"/>
        </w:rPr>
      </w:pPr>
      <w:r w:rsidRPr="00253C6F">
        <w:rPr>
          <w:rFonts w:ascii="Times New Roman" w:eastAsia="Times New Roman" w:hAnsi="Times New Roman" w:cs="Times New Roman"/>
          <w:lang w:val="en-US" w:bidi="fa-IR"/>
        </w:rPr>
        <w:t xml:space="preserve">(iv) </w:t>
      </w:r>
      <w:r w:rsidRPr="00253C6F">
        <w:rPr>
          <w:rFonts w:ascii="Times New Roman" w:eastAsia="Times New Roman" w:hAnsi="Times New Roman" w:cs="Times New Roman"/>
          <w:lang w:val="en-US" w:bidi="fa-IR"/>
        </w:rPr>
        <w:tab/>
        <w:t>incorrect assessments of the value of acquisitions;</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(v) </w:t>
      </w:r>
      <w:r w:rsidRPr="00253C6F">
        <w:rPr>
          <w:rFonts w:ascii="Times New Roman" w:eastAsia="Times New Roman" w:hAnsi="Times New Roman" w:cs="Times New Roman"/>
          <w:lang w:bidi="fa-IR"/>
        </w:rPr>
        <w:tab/>
        <w:t>geological, technical, drilling and processing problems; and</w:t>
      </w:r>
    </w:p>
    <w:p w:rsidR="00253C6F" w:rsidRPr="00253C6F" w:rsidRDefault="00253C6F" w:rsidP="00120E36">
      <w:pPr>
        <w:spacing w:after="0" w:line="240" w:lineRule="auto"/>
        <w:ind w:left="1440" w:hanging="720"/>
        <w:rPr>
          <w:rFonts w:ascii="Times New Roman" w:eastAsia="Times New Roman" w:hAnsi="Times New Roman" w:cs="Times New Roman"/>
          <w:lang w:bidi="fa-IR"/>
        </w:rPr>
      </w:pPr>
      <w:r w:rsidRPr="00253C6F">
        <w:rPr>
          <w:rFonts w:ascii="Times New Roman" w:eastAsia="Times New Roman" w:hAnsi="Times New Roman" w:cs="Times New Roman"/>
          <w:lang w:bidi="fa-IR"/>
        </w:rPr>
        <w:t xml:space="preserve">(vi) </w:t>
      </w:r>
      <w:r w:rsidRPr="00253C6F">
        <w:rPr>
          <w:rFonts w:ascii="Times New Roman" w:eastAsia="Times New Roman" w:hAnsi="Times New Roman" w:cs="Times New Roman"/>
          <w:lang w:bidi="fa-IR"/>
        </w:rPr>
        <w:tab/>
        <w:t>changes in legislation or regulatory changes relating to the oil and natural gas industry.</w:t>
      </w:r>
    </w:p>
    <w:p w:rsidR="00253C6F" w:rsidRPr="00266CFF" w:rsidRDefault="00253C6F" w:rsidP="00120E36">
      <w:pPr>
        <w:spacing w:after="0" w:line="240" w:lineRule="auto"/>
        <w:rPr>
          <w:rFonts w:ascii="Times New Roman" w:eastAsia="MS Mincho" w:hAnsi="Times New Roman" w:cs="Times New Roman"/>
          <w:sz w:val="12"/>
          <w:szCs w:val="12"/>
        </w:rPr>
      </w:pPr>
    </w:p>
    <w:p w:rsidR="00253C6F" w:rsidRPr="00253C6F" w:rsidRDefault="00253C6F" w:rsidP="00266CFF">
      <w:pPr>
        <w:spacing w:after="0" w:line="240" w:lineRule="auto"/>
        <w:ind w:left="720"/>
        <w:jc w:val="both"/>
        <w:rPr>
          <w:rFonts w:ascii="Times New Roman" w:eastAsia="Times New Roman" w:hAnsi="Times New Roman" w:cs="Times New Roman"/>
          <w:lang w:val="en-US" w:bidi="fa-IR"/>
        </w:rPr>
      </w:pPr>
      <w:r w:rsidRPr="00253C6F">
        <w:rPr>
          <w:rFonts w:ascii="Times New Roman" w:eastAsia="Times New Roman" w:hAnsi="Times New Roman" w:cs="Times New Roman"/>
          <w:lang w:val="en-US" w:bidi="fa-IR"/>
        </w:rPr>
        <w:t>Statements relating to “reserves” or “resources” are deemed to be forward-looking statements, as they involve the implied assessment, based on certain estimates and assumptions, which the resources and reserves described, can be profitably produced in the future. Readers are cautioned that the foregoing lists of factors are not exhaustive. The forward-looking statements contained in this MD&amp;A are expressly qualified by this cautionary statement. As a consequence, actual results may differ materially from those anticipated in the forward-looking statements and the Company is under no obligation to update unless required by applicable securities laws.</w:t>
      </w:r>
    </w:p>
    <w:p w:rsidR="00253C6F" w:rsidRPr="00266CFF" w:rsidRDefault="00253C6F" w:rsidP="00120E36">
      <w:pPr>
        <w:spacing w:after="0" w:line="240" w:lineRule="auto"/>
        <w:rPr>
          <w:rFonts w:ascii="Times New Roman" w:eastAsia="MS Mincho" w:hAnsi="Times New Roman" w:cs="Times New Roman"/>
          <w:bCs/>
          <w:sz w:val="12"/>
          <w:szCs w:val="12"/>
        </w:rPr>
      </w:pPr>
    </w:p>
    <w:p w:rsidR="00253C6F" w:rsidRPr="00253C6F" w:rsidRDefault="007828F1" w:rsidP="00120E36">
      <w:pPr>
        <w:keepNext/>
        <w:keepLines/>
        <w:spacing w:after="0" w:line="240" w:lineRule="auto"/>
        <w:rPr>
          <w:rFonts w:ascii="Times New Roman" w:eastAsia="MS Mincho" w:hAnsi="Times New Roman" w:cs="Times New Roman"/>
          <w:b/>
        </w:rPr>
      </w:pPr>
      <w:r>
        <w:rPr>
          <w:rFonts w:ascii="Times New Roman" w:eastAsia="MS Mincho" w:hAnsi="Times New Roman" w:cs="Times New Roman"/>
          <w:bCs/>
        </w:rPr>
        <w:lastRenderedPageBreak/>
        <w:t>1.13</w:t>
      </w:r>
      <w:r w:rsidR="00253C6F" w:rsidRPr="00253C6F">
        <w:rPr>
          <w:rFonts w:ascii="Times New Roman" w:eastAsia="MS Mincho" w:hAnsi="Times New Roman" w:cs="Times New Roman"/>
          <w:b/>
        </w:rPr>
        <w:tab/>
      </w:r>
      <w:r w:rsidR="00253C6F" w:rsidRPr="00253C6F">
        <w:rPr>
          <w:rFonts w:ascii="Times New Roman" w:eastAsia="MS Mincho" w:hAnsi="Times New Roman" w:cs="Times New Roman"/>
          <w:b/>
          <w:u w:val="single"/>
        </w:rPr>
        <w:t>Risks and Uncertainties</w:t>
      </w:r>
    </w:p>
    <w:p w:rsidR="00253C6F" w:rsidRPr="00266CFF" w:rsidRDefault="00253C6F" w:rsidP="00120E36">
      <w:pPr>
        <w:keepNext/>
        <w:keepLines/>
        <w:widowControl w:val="0"/>
        <w:autoSpaceDE w:val="0"/>
        <w:autoSpaceDN w:val="0"/>
        <w:adjustRightInd w:val="0"/>
        <w:spacing w:after="0" w:line="240" w:lineRule="auto"/>
        <w:rPr>
          <w:rFonts w:ascii="Times New Roman" w:eastAsia="MS Mincho" w:hAnsi="Times New Roman" w:cs="Times New Roman"/>
          <w:sz w:val="12"/>
          <w:szCs w:val="12"/>
          <w:lang w:val="en-US"/>
        </w:rPr>
      </w:pPr>
    </w:p>
    <w:p w:rsidR="00253C6F" w:rsidRPr="00253C6F" w:rsidRDefault="00932F93" w:rsidP="00120E36">
      <w:pPr>
        <w:keepNext/>
        <w:keepLines/>
        <w:widowControl w:val="0"/>
        <w:autoSpaceDE w:val="0"/>
        <w:autoSpaceDN w:val="0"/>
        <w:adjustRightInd w:val="0"/>
        <w:spacing w:after="0" w:line="240" w:lineRule="auto"/>
        <w:ind w:left="720"/>
        <w:jc w:val="both"/>
        <w:rPr>
          <w:rFonts w:ascii="Times New Roman" w:eastAsia="MS Mincho" w:hAnsi="Times New Roman" w:cs="Times New Roman"/>
          <w:lang w:val="en-US"/>
        </w:rPr>
      </w:pPr>
      <w:r>
        <w:rPr>
          <w:rFonts w:ascii="Times New Roman" w:eastAsia="MS Mincho" w:hAnsi="Times New Roman" w:cs="Times New Roman"/>
          <w:lang w:val="en-US"/>
        </w:rPr>
        <w:t xml:space="preserve">The process for granting a license to grow medicinal marijuana is very stringent and risky.  </w:t>
      </w:r>
      <w:r w:rsidR="00C56E06">
        <w:rPr>
          <w:rFonts w:ascii="Times New Roman" w:eastAsia="MS Mincho" w:hAnsi="Times New Roman" w:cs="Times New Roman"/>
          <w:lang w:val="en-US"/>
        </w:rPr>
        <w:t>T</w:t>
      </w:r>
      <w:r>
        <w:rPr>
          <w:rFonts w:ascii="Times New Roman" w:eastAsia="MS Mincho" w:hAnsi="Times New Roman" w:cs="Times New Roman"/>
          <w:lang w:val="en-US"/>
        </w:rPr>
        <w:t>here can be no assurance the Company the Company will be granted a license</w:t>
      </w:r>
      <w:r w:rsidR="00253C6F" w:rsidRPr="00932F93">
        <w:rPr>
          <w:rFonts w:ascii="Times New Roman" w:eastAsia="MS Mincho" w:hAnsi="Times New Roman" w:cs="Times New Roman"/>
          <w:lang w:val="en-US"/>
        </w:rPr>
        <w:t xml:space="preserve">. </w:t>
      </w:r>
    </w:p>
    <w:p w:rsidR="00253C6F" w:rsidRPr="00253C6F" w:rsidRDefault="00253C6F" w:rsidP="00253C6F">
      <w:pPr>
        <w:spacing w:after="0" w:line="240" w:lineRule="auto"/>
        <w:ind w:left="720" w:right="-360"/>
        <w:jc w:val="both"/>
        <w:rPr>
          <w:rFonts w:ascii="Times New Roman" w:eastAsia="Times New Roman" w:hAnsi="Times New Roman" w:cs="Times New Roman"/>
        </w:rPr>
      </w:pPr>
    </w:p>
    <w:p w:rsidR="00485823" w:rsidRPr="00F20FD8" w:rsidRDefault="00485823" w:rsidP="00485823">
      <w:pPr>
        <w:keepNext/>
        <w:spacing w:after="0" w:line="240" w:lineRule="auto"/>
        <w:ind w:left="720"/>
        <w:jc w:val="both"/>
        <w:rPr>
          <w:rFonts w:ascii="Times New Roman" w:eastAsia="Calibri" w:hAnsi="Times New Roman" w:cs="Times New Roman"/>
          <w:lang w:val="en-US"/>
        </w:rPr>
      </w:pPr>
      <w:r w:rsidRPr="007B766C">
        <w:rPr>
          <w:rFonts w:ascii="Times New Roman" w:eastAsia="Calibri" w:hAnsi="Times New Roman" w:cs="Times New Roman"/>
          <w:b/>
          <w:bCs/>
          <w:i/>
          <w:lang w:val="en-US"/>
        </w:rPr>
        <w:t>Reliance on License</w:t>
      </w:r>
      <w:r>
        <w:rPr>
          <w:rFonts w:ascii="Times New Roman" w:hAnsi="Times New Roman"/>
          <w:bCs/>
          <w:lang w:val="en-US"/>
        </w:rPr>
        <w:t xml:space="preserve"> - </w:t>
      </w:r>
      <w:r w:rsidRPr="007B766C">
        <w:rPr>
          <w:rFonts w:ascii="Times New Roman" w:eastAsia="Calibri" w:hAnsi="Times New Roman" w:cs="Times New Roman"/>
          <w:lang w:val="en-US"/>
        </w:rPr>
        <w:t xml:space="preserve">The </w:t>
      </w:r>
      <w:r>
        <w:rPr>
          <w:rFonts w:ascii="Times New Roman" w:hAnsi="Times New Roman"/>
          <w:lang w:val="en-US"/>
        </w:rPr>
        <w:t>Company’s</w:t>
      </w:r>
      <w:r w:rsidRPr="007B766C">
        <w:rPr>
          <w:rFonts w:ascii="Times New Roman" w:eastAsia="Calibri" w:hAnsi="Times New Roman" w:cs="Times New Roman"/>
          <w:lang w:val="en-US"/>
        </w:rPr>
        <w:t xml:space="preserve"> ability to grow, store and sell medical marijuana in Canada is dependent on the </w:t>
      </w:r>
      <w:r>
        <w:rPr>
          <w:rFonts w:ascii="Times New Roman" w:hAnsi="Times New Roman"/>
          <w:lang w:val="en-US"/>
        </w:rPr>
        <w:t>Company</w:t>
      </w:r>
      <w:r w:rsidRPr="007B766C">
        <w:rPr>
          <w:rFonts w:ascii="Times New Roman" w:eastAsia="Calibri" w:hAnsi="Times New Roman" w:cs="Times New Roman"/>
          <w:lang w:val="en-US"/>
        </w:rPr>
        <w:t xml:space="preserve">’s ability to obtain a License from Health Canada.  The </w:t>
      </w:r>
      <w:r>
        <w:rPr>
          <w:rFonts w:ascii="Times New Roman" w:hAnsi="Times New Roman"/>
          <w:lang w:val="en-US"/>
        </w:rPr>
        <w:t>Company</w:t>
      </w:r>
      <w:r w:rsidRPr="007B766C">
        <w:rPr>
          <w:rFonts w:ascii="Times New Roman" w:eastAsia="Calibri" w:hAnsi="Times New Roman" w:cs="Times New Roman"/>
          <w:lang w:val="en-US"/>
        </w:rPr>
        <w:t xml:space="preserve"> does not currently hold a License.  Although the </w:t>
      </w:r>
      <w:r>
        <w:rPr>
          <w:rFonts w:ascii="Times New Roman" w:hAnsi="Times New Roman"/>
          <w:lang w:val="en-US"/>
        </w:rPr>
        <w:t>Company</w:t>
      </w:r>
      <w:r w:rsidRPr="007B766C">
        <w:rPr>
          <w:rFonts w:ascii="Times New Roman" w:eastAsia="Calibri" w:hAnsi="Times New Roman" w:cs="Times New Roman"/>
          <w:lang w:val="en-US"/>
        </w:rPr>
        <w:t xml:space="preserve"> believes it will meet the requirements of MMPR </w:t>
      </w:r>
      <w:r w:rsidRPr="00F20FD8">
        <w:rPr>
          <w:rFonts w:ascii="Times New Roman" w:eastAsia="Calibri" w:hAnsi="Times New Roman" w:cs="Times New Roman"/>
          <w:lang w:val="en-US"/>
        </w:rPr>
        <w:t xml:space="preserve">for the License, there can be no guarantee that it will.  Even if the </w:t>
      </w:r>
      <w:r>
        <w:rPr>
          <w:rFonts w:ascii="Times New Roman" w:hAnsi="Times New Roman"/>
          <w:lang w:val="en-US"/>
        </w:rPr>
        <w:t>Company</w:t>
      </w:r>
      <w:r w:rsidRPr="00F20FD8">
        <w:rPr>
          <w:rFonts w:ascii="Times New Roman" w:eastAsia="Calibri" w:hAnsi="Times New Roman" w:cs="Times New Roman"/>
          <w:lang w:val="en-US"/>
        </w:rPr>
        <w:t xml:space="preserve"> is able to obtain a License, failure to comply with the requirements of the License or any failure to maintain the License would have a material adverse impact on the business, financial condition and operating results of the </w:t>
      </w:r>
      <w:r>
        <w:rPr>
          <w:rFonts w:ascii="Times New Roman" w:hAnsi="Times New Roman"/>
          <w:lang w:val="en-US"/>
        </w:rPr>
        <w:t>Company</w:t>
      </w:r>
      <w:r w:rsidRPr="00F20FD8">
        <w:rPr>
          <w:rFonts w:ascii="Times New Roman" w:eastAsia="Calibri" w:hAnsi="Times New Roman" w:cs="Times New Roman"/>
          <w:lang w:val="en-US"/>
        </w:rPr>
        <w:t xml:space="preserve">.  In addition, there can be no guarantee that Health Canada will extend or renew the License or, if it is extended or renewed, that it will be extended or renewed on the same or similar terms.  Should Health Canada not extend or renew the License or should it renew the License on different terms, the business, financial condition and results of the operation of the </w:t>
      </w:r>
      <w:r>
        <w:rPr>
          <w:rFonts w:ascii="Times New Roman" w:hAnsi="Times New Roman"/>
          <w:lang w:val="en-US"/>
        </w:rPr>
        <w:t>Company</w:t>
      </w:r>
      <w:r w:rsidRPr="00F20FD8">
        <w:rPr>
          <w:rFonts w:ascii="Times New Roman" w:eastAsia="Calibri" w:hAnsi="Times New Roman" w:cs="Times New Roman"/>
          <w:lang w:val="en-US"/>
        </w:rPr>
        <w:t xml:space="preserve"> would be materially adversely affected.</w:t>
      </w:r>
    </w:p>
    <w:p w:rsidR="00253C6F" w:rsidRPr="00266CFF" w:rsidRDefault="00253C6F" w:rsidP="00253C6F">
      <w:pPr>
        <w:widowControl w:val="0"/>
        <w:spacing w:after="0" w:line="240" w:lineRule="auto"/>
        <w:ind w:left="709" w:right="-360"/>
        <w:jc w:val="both"/>
        <w:rPr>
          <w:rFonts w:ascii="Times New Roman" w:eastAsia="MS Mincho" w:hAnsi="Times New Roman" w:cs="Times New Roman"/>
          <w:b/>
          <w:bCs/>
          <w:snapToGrid w:val="0"/>
          <w:sz w:val="12"/>
          <w:szCs w:val="12"/>
          <w:lang w:val="en-US" w:eastAsia="de-DE"/>
        </w:rPr>
      </w:pPr>
    </w:p>
    <w:p w:rsidR="00485823" w:rsidRPr="00F20FD8" w:rsidRDefault="00485823" w:rsidP="00485823">
      <w:pPr>
        <w:keepNext/>
        <w:spacing w:after="0" w:line="240" w:lineRule="auto"/>
        <w:ind w:left="720"/>
        <w:jc w:val="both"/>
        <w:rPr>
          <w:rFonts w:ascii="Times New Roman" w:eastAsia="Calibri" w:hAnsi="Times New Roman" w:cs="Times New Roman"/>
          <w:lang w:val="en-US"/>
        </w:rPr>
      </w:pPr>
      <w:r w:rsidRPr="001170E1">
        <w:rPr>
          <w:rFonts w:ascii="Times New Roman" w:eastAsia="Calibri" w:hAnsi="Times New Roman" w:cs="Times New Roman"/>
          <w:b/>
          <w:bCs/>
          <w:i/>
          <w:lang w:val="en-US"/>
        </w:rPr>
        <w:t>Factors which may Prevent Realization of Business Objectives</w:t>
      </w:r>
      <w:r>
        <w:rPr>
          <w:rFonts w:ascii="Times New Roman" w:hAnsi="Times New Roman"/>
          <w:bCs/>
          <w:lang w:val="en-US"/>
        </w:rPr>
        <w:t xml:space="preserve"> - </w:t>
      </w:r>
      <w:r w:rsidRPr="00F20FD8">
        <w:rPr>
          <w:rFonts w:ascii="Times New Roman" w:eastAsia="Calibri" w:hAnsi="Times New Roman" w:cs="Times New Roman"/>
          <w:lang w:val="en-US"/>
        </w:rPr>
        <w:t xml:space="preserve">The </w:t>
      </w:r>
      <w:r>
        <w:rPr>
          <w:rFonts w:ascii="Times New Roman" w:hAnsi="Times New Roman"/>
          <w:lang w:val="en-US"/>
        </w:rPr>
        <w:t>Company</w:t>
      </w:r>
      <w:r w:rsidRPr="00F20FD8">
        <w:rPr>
          <w:rFonts w:ascii="Times New Roman" w:eastAsia="Calibri" w:hAnsi="Times New Roman" w:cs="Times New Roman"/>
          <w:lang w:val="en-US"/>
        </w:rPr>
        <w:t xml:space="preserve"> is currently in the early development stage.  </w:t>
      </w:r>
      <w:r>
        <w:rPr>
          <w:rFonts w:ascii="Times New Roman" w:hAnsi="Times New Roman"/>
          <w:lang w:val="en-US"/>
        </w:rPr>
        <w:t>The growing f</w:t>
      </w:r>
      <w:r w:rsidRPr="00F20FD8">
        <w:rPr>
          <w:rFonts w:ascii="Times New Roman" w:eastAsia="Calibri" w:hAnsi="Times New Roman" w:cs="Times New Roman"/>
          <w:lang w:val="en-US"/>
        </w:rPr>
        <w:t xml:space="preserve">acility has not yet been constructed and growing operations have not commenced.  Adverse changes or developments affecting construction of the </w:t>
      </w:r>
      <w:r>
        <w:rPr>
          <w:rFonts w:ascii="Times New Roman" w:hAnsi="Times New Roman"/>
          <w:lang w:val="en-US"/>
        </w:rPr>
        <w:t>growing f</w:t>
      </w:r>
      <w:r w:rsidRPr="00F20FD8">
        <w:rPr>
          <w:rFonts w:ascii="Times New Roman" w:eastAsia="Calibri" w:hAnsi="Times New Roman" w:cs="Times New Roman"/>
          <w:lang w:val="en-US"/>
        </w:rPr>
        <w:t xml:space="preserve">acility and commencement of production could have a material and adverse effect on the </w:t>
      </w:r>
      <w:r>
        <w:rPr>
          <w:rFonts w:ascii="Times New Roman" w:hAnsi="Times New Roman"/>
          <w:lang w:val="en-US"/>
        </w:rPr>
        <w:t>Company</w:t>
      </w:r>
      <w:r w:rsidRPr="00F20FD8">
        <w:rPr>
          <w:rFonts w:ascii="Times New Roman" w:eastAsia="Calibri" w:hAnsi="Times New Roman" w:cs="Times New Roman"/>
          <w:lang w:val="en-US"/>
        </w:rPr>
        <w:t>’s business, financial condition and prospects.  There is a risk that these additional resources will not be achieved on time, on budget, or at all, as they can be adversely affected by a variety of factors</w:t>
      </w:r>
      <w:r>
        <w:rPr>
          <w:rFonts w:ascii="Times New Roman" w:hAnsi="Times New Roman"/>
          <w:lang w:val="en-US"/>
        </w:rPr>
        <w:t xml:space="preserve"> such as</w:t>
      </w:r>
      <w:r w:rsidR="00F2365A">
        <w:rPr>
          <w:rFonts w:ascii="Times New Roman" w:eastAsia="Calibri" w:hAnsi="Times New Roman" w:cs="Times New Roman"/>
          <w:lang w:val="en-US"/>
        </w:rPr>
        <w:t>:</w:t>
      </w:r>
    </w:p>
    <w:p w:rsidR="00485823" w:rsidRPr="00266CFF" w:rsidRDefault="00485823" w:rsidP="00485823">
      <w:pPr>
        <w:spacing w:after="0" w:line="240" w:lineRule="auto"/>
        <w:jc w:val="both"/>
        <w:rPr>
          <w:rFonts w:ascii="Times New Roman" w:eastAsia="Calibri" w:hAnsi="Times New Roman" w:cs="Times New Roman"/>
          <w:sz w:val="12"/>
          <w:szCs w:val="12"/>
          <w:lang w:val="en-US"/>
        </w:rPr>
      </w:pPr>
    </w:p>
    <w:p w:rsidR="00485823"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delays in obtaining, or conditions imposed by, regulatory approvals;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plant design errors;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environmental pollution;</w:t>
      </w:r>
    </w:p>
    <w:p w:rsidR="00485823"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non-performance by third party contractors;</w:t>
      </w:r>
      <w:r w:rsidRPr="00F20FD8">
        <w:rPr>
          <w:rFonts w:ascii="Times New Roman" w:eastAsia="Calibri" w:hAnsi="Times New Roman" w:cs="Times New Roman"/>
          <w:lang w:val="en-US"/>
        </w:rPr>
        <w:tab/>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increases in materials or labour costs;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construction performance falling below expected levels of output or efficiency;</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breakdown, aging or failure of equipment or processes;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contractor or operator errors;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labour disputes, disruptions or declines in productivity;</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inability to attract sufficient numbers of qualified workers;</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disruption in the supply of energy and utilities; and</w:t>
      </w:r>
    </w:p>
    <w:p w:rsidR="00485823" w:rsidRPr="00F20FD8" w:rsidRDefault="00485823" w:rsidP="00485823">
      <w:pPr>
        <w:numPr>
          <w:ilvl w:val="0"/>
          <w:numId w:val="3"/>
        </w:numPr>
        <w:spacing w:after="0" w:line="240" w:lineRule="auto"/>
        <w:contextualSpacing/>
        <w:jc w:val="both"/>
        <w:rPr>
          <w:rFonts w:ascii="Times New Roman" w:eastAsia="Calibri" w:hAnsi="Times New Roman" w:cs="Times New Roman"/>
          <w:lang w:val="en-US"/>
        </w:rPr>
      </w:pPr>
      <w:r w:rsidRPr="00F20FD8">
        <w:rPr>
          <w:rFonts w:ascii="Times New Roman" w:eastAsia="Calibri" w:hAnsi="Times New Roman" w:cs="Times New Roman"/>
          <w:lang w:val="en-US"/>
        </w:rPr>
        <w:t>major incidents and/or catastrophic events such as fires, explosions, earthquakes or storms.</w:t>
      </w:r>
    </w:p>
    <w:p w:rsidR="00485823" w:rsidRPr="00F20FD8" w:rsidRDefault="00485823" w:rsidP="00485823">
      <w:pPr>
        <w:spacing w:after="0" w:line="240" w:lineRule="auto"/>
        <w:jc w:val="both"/>
        <w:rPr>
          <w:rFonts w:ascii="Times New Roman" w:eastAsia="Calibri" w:hAnsi="Times New Roman" w:cs="Times New Roman"/>
          <w:lang w:val="en-US"/>
        </w:rPr>
      </w:pPr>
    </w:p>
    <w:p w:rsidR="00485823" w:rsidRPr="00266CFF" w:rsidRDefault="00485823" w:rsidP="00266CFF">
      <w:pPr>
        <w:spacing w:after="0" w:line="240" w:lineRule="auto"/>
        <w:ind w:left="720"/>
        <w:jc w:val="both"/>
        <w:rPr>
          <w:rFonts w:ascii="Times New Roman" w:eastAsia="Calibri" w:hAnsi="Times New Roman" w:cs="Times New Roman"/>
          <w:lang w:val="en-US"/>
        </w:rPr>
      </w:pPr>
      <w:r w:rsidRPr="00F20FD8">
        <w:rPr>
          <w:rFonts w:ascii="Times New Roman" w:eastAsia="Calibri" w:hAnsi="Times New Roman" w:cs="Times New Roman"/>
          <w:lang w:val="en-US"/>
        </w:rPr>
        <w:t xml:space="preserve">It is also possible that the final costs of the constructing the </w:t>
      </w:r>
      <w:r>
        <w:rPr>
          <w:rFonts w:ascii="Times New Roman" w:hAnsi="Times New Roman"/>
          <w:lang w:val="en-US"/>
        </w:rPr>
        <w:t>growing f</w:t>
      </w:r>
      <w:r w:rsidRPr="00F20FD8">
        <w:rPr>
          <w:rFonts w:ascii="Times New Roman" w:eastAsia="Calibri" w:hAnsi="Times New Roman" w:cs="Times New Roman"/>
          <w:lang w:val="en-US"/>
        </w:rPr>
        <w:t xml:space="preserve">acility and commencing production may be significantly greater than anticipated by the </w:t>
      </w:r>
      <w:r>
        <w:rPr>
          <w:rFonts w:ascii="Times New Roman" w:hAnsi="Times New Roman"/>
          <w:lang w:val="en-US"/>
        </w:rPr>
        <w:t xml:space="preserve">Company’s </w:t>
      </w:r>
      <w:r w:rsidRPr="00F20FD8">
        <w:rPr>
          <w:rFonts w:ascii="Times New Roman" w:eastAsia="Calibri" w:hAnsi="Times New Roman" w:cs="Times New Roman"/>
          <w:lang w:val="en-US"/>
        </w:rPr>
        <w:t xml:space="preserve">management, and may be greater than funds available to the </w:t>
      </w:r>
      <w:r>
        <w:rPr>
          <w:rFonts w:ascii="Times New Roman" w:hAnsi="Times New Roman"/>
          <w:lang w:val="en-US"/>
        </w:rPr>
        <w:t>Company</w:t>
      </w:r>
      <w:r w:rsidRPr="00F20FD8">
        <w:rPr>
          <w:rFonts w:ascii="Times New Roman" w:eastAsia="Calibri" w:hAnsi="Times New Roman" w:cs="Times New Roman"/>
          <w:lang w:val="en-US"/>
        </w:rPr>
        <w:t xml:space="preserve">, in which circumstance the </w:t>
      </w:r>
      <w:r>
        <w:rPr>
          <w:rFonts w:ascii="Times New Roman" w:hAnsi="Times New Roman"/>
          <w:lang w:val="en-US"/>
        </w:rPr>
        <w:t>Company</w:t>
      </w:r>
      <w:r w:rsidRPr="00F20FD8">
        <w:rPr>
          <w:rFonts w:ascii="Times New Roman" w:eastAsia="Calibri" w:hAnsi="Times New Roman" w:cs="Times New Roman"/>
          <w:lang w:val="en-US"/>
        </w:rPr>
        <w:t xml:space="preserve"> may curtail, or extend the timeframes for completing, its business plans.  This could have an adverse effect on the financial results of the </w:t>
      </w:r>
      <w:r>
        <w:rPr>
          <w:rFonts w:ascii="Times New Roman" w:hAnsi="Times New Roman"/>
          <w:lang w:val="en-US"/>
        </w:rPr>
        <w:t>Company</w:t>
      </w:r>
      <w:r w:rsidRPr="00F20FD8">
        <w:rPr>
          <w:rFonts w:ascii="Times New Roman" w:eastAsia="Calibri" w:hAnsi="Times New Roman" w:cs="Times New Roman"/>
          <w:lang w:val="en-US"/>
        </w:rPr>
        <w:t>.</w:t>
      </w:r>
    </w:p>
    <w:p w:rsidR="00485823" w:rsidRDefault="00485823" w:rsidP="00120E36">
      <w:pPr>
        <w:spacing w:after="0" w:line="240" w:lineRule="auto"/>
        <w:ind w:left="720"/>
        <w:jc w:val="both"/>
        <w:rPr>
          <w:rFonts w:ascii="Times New Roman" w:hAnsi="Times New Roman"/>
          <w:lang w:val="en-US"/>
        </w:rPr>
      </w:pPr>
    </w:p>
    <w:p w:rsidR="00485823" w:rsidRDefault="00485823" w:rsidP="00485823">
      <w:pPr>
        <w:keepNext/>
        <w:spacing w:after="0" w:line="240" w:lineRule="auto"/>
        <w:ind w:left="720"/>
        <w:jc w:val="both"/>
        <w:rPr>
          <w:rFonts w:ascii="Times New Roman" w:hAnsi="Times New Roman"/>
          <w:lang w:val="en-US"/>
        </w:rPr>
      </w:pPr>
      <w:r w:rsidRPr="001170E1">
        <w:rPr>
          <w:rFonts w:ascii="Times New Roman" w:eastAsia="Calibri" w:hAnsi="Times New Roman" w:cs="Times New Roman"/>
          <w:b/>
          <w:bCs/>
          <w:i/>
          <w:lang w:val="en-US"/>
        </w:rPr>
        <w:t>Regulatory Risks</w:t>
      </w:r>
      <w:r>
        <w:rPr>
          <w:rFonts w:ascii="Times New Roman" w:hAnsi="Times New Roman"/>
          <w:bCs/>
          <w:lang w:val="en-US"/>
        </w:rPr>
        <w:t xml:space="preserve"> - </w:t>
      </w:r>
      <w:r w:rsidRPr="00F20FD8">
        <w:rPr>
          <w:rFonts w:ascii="Times New Roman" w:eastAsia="Calibri" w:hAnsi="Times New Roman" w:cs="Times New Roman"/>
          <w:lang w:val="en-US"/>
        </w:rPr>
        <w:t xml:space="preserve">The activities of the </w:t>
      </w:r>
      <w:r>
        <w:rPr>
          <w:rFonts w:ascii="Times New Roman" w:hAnsi="Times New Roman"/>
          <w:lang w:val="en-US"/>
        </w:rPr>
        <w:t>Company</w:t>
      </w:r>
      <w:r w:rsidRPr="00F20FD8">
        <w:rPr>
          <w:rFonts w:ascii="Times New Roman" w:eastAsia="Calibri" w:hAnsi="Times New Roman" w:cs="Times New Roman"/>
          <w:lang w:val="en-US"/>
        </w:rPr>
        <w:t xml:space="preserve"> will be subject to intense regulation by governmental authorities, particularly Health Canada.  Achievement of the </w:t>
      </w:r>
      <w:r>
        <w:rPr>
          <w:rFonts w:ascii="Times New Roman" w:hAnsi="Times New Roman"/>
          <w:lang w:val="en-US"/>
        </w:rPr>
        <w:t>Company</w:t>
      </w:r>
      <w:r w:rsidRPr="00F20FD8">
        <w:rPr>
          <w:rFonts w:ascii="Times New Roman" w:eastAsia="Calibri" w:hAnsi="Times New Roman" w:cs="Times New Roman"/>
          <w:lang w:val="en-US"/>
        </w:rPr>
        <w:t xml:space="preserve">’s business objectives are contingent, in part, upon compliance with regulatory requirements </w:t>
      </w:r>
      <w:r w:rsidRPr="00F20FD8">
        <w:rPr>
          <w:rFonts w:ascii="Times New Roman" w:eastAsia="Calibri" w:hAnsi="Times New Roman" w:cs="Times New Roman"/>
          <w:lang w:val="en-US"/>
        </w:rPr>
        <w:lastRenderedPageBreak/>
        <w:t xml:space="preserve">enacted by these governmental authorities and obtaining all regulatory approvals, where necessary, for the sale of its products.  The </w:t>
      </w:r>
      <w:r>
        <w:rPr>
          <w:rFonts w:ascii="Times New Roman" w:hAnsi="Times New Roman"/>
          <w:lang w:val="en-US"/>
        </w:rPr>
        <w:t>Company</w:t>
      </w:r>
      <w:r w:rsidRPr="00F20FD8">
        <w:rPr>
          <w:rFonts w:ascii="Times New Roman" w:eastAsia="Calibri" w:hAnsi="Times New Roman" w:cs="Times New Roman"/>
          <w:lang w:val="en-US"/>
        </w:rPr>
        <w:t xml:space="preserve">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w:t>
      </w:r>
      <w:r>
        <w:rPr>
          <w:rFonts w:ascii="Times New Roman" w:hAnsi="Times New Roman"/>
          <w:lang w:val="en-US"/>
        </w:rPr>
        <w:t>Company</w:t>
      </w:r>
      <w:r w:rsidRPr="00F20FD8">
        <w:rPr>
          <w:rFonts w:ascii="Times New Roman" w:eastAsia="Calibri" w:hAnsi="Times New Roman" w:cs="Times New Roman"/>
          <w:lang w:val="en-US"/>
        </w:rPr>
        <w:t>.</w:t>
      </w:r>
    </w:p>
    <w:p w:rsidR="00D140F1" w:rsidRPr="00F20FD8" w:rsidRDefault="00D140F1" w:rsidP="00485823">
      <w:pPr>
        <w:spacing w:after="0" w:line="240" w:lineRule="auto"/>
        <w:jc w:val="both"/>
        <w:rPr>
          <w:rFonts w:ascii="Times New Roman" w:eastAsia="Calibri" w:hAnsi="Times New Roman" w:cs="Times New Roman"/>
          <w:lang w:val="en-US"/>
        </w:rPr>
      </w:pPr>
    </w:p>
    <w:p w:rsidR="00253C6F" w:rsidRPr="00253C6F" w:rsidRDefault="007828F1" w:rsidP="00253C6F">
      <w:pPr>
        <w:spacing w:after="0" w:line="240" w:lineRule="auto"/>
        <w:jc w:val="both"/>
        <w:rPr>
          <w:rFonts w:ascii="Times New Roman" w:eastAsia="Arial Unicode MS" w:hAnsi="Times New Roman" w:cs="Times New Roman"/>
          <w:b/>
          <w:bCs/>
          <w:lang w:val="en-US"/>
        </w:rPr>
      </w:pPr>
      <w:r>
        <w:rPr>
          <w:rFonts w:ascii="Times New Roman" w:eastAsia="Times New Roman" w:hAnsi="Times New Roman" w:cs="Times New Roman"/>
          <w:lang w:val="en-US"/>
        </w:rPr>
        <w:t>1.14</w:t>
      </w:r>
      <w:r w:rsidR="00253C6F" w:rsidRPr="00253C6F">
        <w:rPr>
          <w:rFonts w:ascii="Times New Roman" w:eastAsia="Times New Roman" w:hAnsi="Times New Roman" w:cs="Times New Roman"/>
          <w:b/>
          <w:bCs/>
          <w:lang w:val="en-US"/>
        </w:rPr>
        <w:tab/>
      </w:r>
      <w:r w:rsidR="00253C6F" w:rsidRPr="00253C6F">
        <w:rPr>
          <w:rFonts w:ascii="Times New Roman" w:eastAsia="Times New Roman" w:hAnsi="Times New Roman" w:cs="Times New Roman"/>
          <w:b/>
          <w:bCs/>
          <w:u w:val="single"/>
          <w:lang w:val="en-US"/>
        </w:rPr>
        <w:t>Disclosure Controls and Procedures</w:t>
      </w:r>
    </w:p>
    <w:p w:rsidR="00253C6F" w:rsidRPr="00253C6F" w:rsidRDefault="00253C6F" w:rsidP="00253C6F">
      <w:pPr>
        <w:spacing w:after="0" w:line="240" w:lineRule="auto"/>
        <w:jc w:val="both"/>
        <w:rPr>
          <w:rFonts w:ascii="Times New Roman" w:eastAsia="Times New Roman" w:hAnsi="Times New Roman" w:cs="Times New Roman"/>
          <w:lang w:val="en-US"/>
        </w:rPr>
      </w:pPr>
    </w:p>
    <w:p w:rsidR="00253C6F" w:rsidRPr="00253C6F" w:rsidRDefault="00253C6F" w:rsidP="00120E36">
      <w:pPr>
        <w:spacing w:after="0" w:line="240" w:lineRule="auto"/>
        <w:ind w:left="720"/>
        <w:jc w:val="both"/>
        <w:rPr>
          <w:rFonts w:ascii="Times New Roman" w:eastAsia="Times New Roman" w:hAnsi="Times New Roman" w:cs="Times New Roman"/>
          <w:lang w:val="en-US"/>
        </w:rPr>
      </w:pPr>
      <w:r w:rsidRPr="00253C6F">
        <w:rPr>
          <w:rFonts w:ascii="Times New Roman" w:eastAsia="Times New Roman" w:hAnsi="Times New Roman" w:cs="Times New Roman"/>
          <w:lang w:val="en-US"/>
        </w:rPr>
        <w:t>Disclosure controls and procedures are designed to provide reasonable assurance that material information is gathered and reported to senior management, including the Chief Executive Officer and Chief Financial Officer, as appropriate to permit timely decisions regarding public disclosure.</w:t>
      </w:r>
    </w:p>
    <w:p w:rsidR="00253C6F" w:rsidRPr="00253C6F" w:rsidRDefault="00253C6F" w:rsidP="00120E36">
      <w:pPr>
        <w:spacing w:after="0" w:line="240" w:lineRule="auto"/>
        <w:jc w:val="both"/>
        <w:rPr>
          <w:rFonts w:ascii="Times New Roman" w:eastAsia="Times New Roman" w:hAnsi="Times New Roman" w:cs="Times New Roman"/>
          <w:lang w:val="en-US"/>
        </w:rPr>
      </w:pPr>
    </w:p>
    <w:p w:rsidR="00253C6F" w:rsidRPr="00253C6F" w:rsidRDefault="00253C6F" w:rsidP="00120E36">
      <w:pPr>
        <w:tabs>
          <w:tab w:val="left" w:pos="-1440"/>
        </w:tabs>
        <w:spacing w:after="0" w:line="240" w:lineRule="auto"/>
        <w:ind w:left="720"/>
        <w:jc w:val="both"/>
        <w:rPr>
          <w:rFonts w:ascii="Times New Roman" w:eastAsia="Times New Roman" w:hAnsi="Times New Roman" w:cs="Times New Roman"/>
        </w:rPr>
      </w:pPr>
      <w:r w:rsidRPr="00253C6F">
        <w:rPr>
          <w:rFonts w:ascii="Times New Roman" w:eastAsia="Times New Roman" w:hAnsi="Times New Roman" w:cs="Times New Roman"/>
        </w:rPr>
        <w:t xml:space="preserve">Management, including the Chief Executive Officer and Chief Financial Officer, has evaluated the effectiveness of the design and operation of our disclosure controls and procedures as of </w:t>
      </w:r>
      <w:r w:rsidR="00ED5B7E">
        <w:rPr>
          <w:rFonts w:ascii="Times New Roman" w:eastAsia="Times New Roman" w:hAnsi="Times New Roman" w:cs="Times New Roman"/>
        </w:rPr>
        <w:t>December 31</w:t>
      </w:r>
      <w:r w:rsidR="00495ABF">
        <w:rPr>
          <w:rFonts w:ascii="Times New Roman" w:eastAsia="Times New Roman" w:hAnsi="Times New Roman" w:cs="Times New Roman"/>
        </w:rPr>
        <w:t>, 2015</w:t>
      </w:r>
      <w:r w:rsidRPr="00253C6F">
        <w:rPr>
          <w:rFonts w:ascii="Times New Roman" w:eastAsia="Times New Roman" w:hAnsi="Times New Roman" w:cs="Times New Roman"/>
        </w:rPr>
        <w:t>.  Based on this evaluation, the Chief Executive Officer and Chief Financial Officer have concluded that the Company’s disclosure controls and procedures, are effective to ensure that information required to be disclosed in reports that are filed or submitted under Canadian securities legislation are recorded, processed, summarized and reported within the time period specified in those rules.</w:t>
      </w:r>
    </w:p>
    <w:p w:rsidR="00266CFF" w:rsidRDefault="00266CFF" w:rsidP="00253C6F">
      <w:pPr>
        <w:tabs>
          <w:tab w:val="left" w:pos="-1440"/>
        </w:tabs>
        <w:spacing w:after="0" w:line="240" w:lineRule="auto"/>
        <w:ind w:left="720" w:hanging="720"/>
        <w:jc w:val="both"/>
        <w:rPr>
          <w:rFonts w:ascii="Times New Roman" w:eastAsia="Times New Roman" w:hAnsi="Times New Roman" w:cs="Times New Roman"/>
        </w:rPr>
      </w:pPr>
    </w:p>
    <w:p w:rsidR="00253C6F" w:rsidRPr="00253C6F" w:rsidRDefault="007828F1" w:rsidP="00253C6F">
      <w:pPr>
        <w:tabs>
          <w:tab w:val="left" w:pos="-144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1.15</w:t>
      </w:r>
      <w:r w:rsidR="00253C6F" w:rsidRPr="00253C6F">
        <w:rPr>
          <w:rFonts w:ascii="Times New Roman" w:eastAsia="Times New Roman" w:hAnsi="Times New Roman" w:cs="Times New Roman"/>
        </w:rPr>
        <w:tab/>
      </w:r>
      <w:r w:rsidR="00253C6F" w:rsidRPr="00253C6F">
        <w:rPr>
          <w:rFonts w:ascii="Times New Roman" w:eastAsia="Times New Roman" w:hAnsi="Times New Roman" w:cs="Times New Roman"/>
          <w:b/>
          <w:bCs/>
          <w:u w:val="single"/>
        </w:rPr>
        <w:t>Other MD&amp;A Requirements</w:t>
      </w:r>
    </w:p>
    <w:p w:rsidR="00253C6F" w:rsidRPr="00253C6F" w:rsidRDefault="00253C6F" w:rsidP="00253C6F">
      <w:pPr>
        <w:spacing w:after="0" w:line="240" w:lineRule="auto"/>
        <w:jc w:val="both"/>
        <w:rPr>
          <w:rFonts w:ascii="Times New Roman" w:eastAsia="Times New Roman" w:hAnsi="Times New Roman" w:cs="Times New Roman"/>
        </w:rPr>
      </w:pPr>
    </w:p>
    <w:p w:rsidR="00253C6F" w:rsidRDefault="00253C6F" w:rsidP="00253C6F">
      <w:pPr>
        <w:spacing w:after="0" w:line="240" w:lineRule="auto"/>
        <w:ind w:left="720"/>
        <w:jc w:val="both"/>
        <w:rPr>
          <w:rFonts w:ascii="Times New Roman" w:eastAsia="Times New Roman" w:hAnsi="Times New Roman" w:cs="Times New Roman"/>
          <w:color w:val="0000FF"/>
          <w:u w:val="single"/>
        </w:rPr>
      </w:pPr>
      <w:r w:rsidRPr="00253C6F">
        <w:rPr>
          <w:rFonts w:ascii="Times New Roman" w:eastAsia="Times New Roman" w:hAnsi="Times New Roman" w:cs="Times New Roman"/>
        </w:rPr>
        <w:t>Additional information relating to</w:t>
      </w:r>
      <w:r w:rsidR="00BA7F69">
        <w:rPr>
          <w:rFonts w:ascii="Times New Roman" w:eastAsia="Times New Roman" w:hAnsi="Times New Roman" w:cs="Times New Roman"/>
        </w:rPr>
        <w:t xml:space="preserve"> Wildflower Marijuana Inc., (f</w:t>
      </w:r>
      <w:r w:rsidR="00D71C06">
        <w:rPr>
          <w:rFonts w:ascii="Times New Roman" w:eastAsia="Times New Roman" w:hAnsi="Times New Roman" w:cs="Times New Roman"/>
        </w:rPr>
        <w:t>ormerly</w:t>
      </w:r>
      <w:r w:rsidRPr="00253C6F">
        <w:rPr>
          <w:rFonts w:ascii="Times New Roman" w:eastAsia="Times New Roman" w:hAnsi="Times New Roman" w:cs="Times New Roman"/>
        </w:rPr>
        <w:t xml:space="preserve"> Sunorca Development Corp.</w:t>
      </w:r>
      <w:r w:rsidR="00D71C06">
        <w:rPr>
          <w:rFonts w:ascii="Times New Roman" w:eastAsia="Times New Roman" w:hAnsi="Times New Roman" w:cs="Times New Roman"/>
        </w:rPr>
        <w:t>)</w:t>
      </w:r>
      <w:r w:rsidRPr="00253C6F">
        <w:rPr>
          <w:rFonts w:ascii="Times New Roman" w:eastAsia="Times New Roman" w:hAnsi="Times New Roman" w:cs="Times New Roman"/>
        </w:rPr>
        <w:t xml:space="preserve"> can be found on SEDAR at </w:t>
      </w:r>
      <w:hyperlink r:id="rId8" w:history="1">
        <w:r w:rsidRPr="00253C6F">
          <w:rPr>
            <w:rFonts w:ascii="Times New Roman" w:eastAsia="Times New Roman" w:hAnsi="Times New Roman" w:cs="Times New Roman"/>
            <w:color w:val="0000FF"/>
            <w:u w:val="single"/>
          </w:rPr>
          <w:t>www.sedar.com</w:t>
        </w:r>
      </w:hyperlink>
      <w:r w:rsidRPr="00253C6F">
        <w:rPr>
          <w:rFonts w:ascii="Times New Roman" w:eastAsia="Times New Roman" w:hAnsi="Times New Roman" w:cs="Times New Roman"/>
          <w:color w:val="0000FF"/>
          <w:u w:val="single"/>
        </w:rPr>
        <w:t>., or at the Company’s head office at:</w:t>
      </w:r>
    </w:p>
    <w:p w:rsidR="00120E36" w:rsidRPr="00253C6F" w:rsidRDefault="00120E36" w:rsidP="00253C6F">
      <w:pPr>
        <w:spacing w:after="0" w:line="240" w:lineRule="auto"/>
        <w:ind w:left="720"/>
        <w:jc w:val="both"/>
        <w:rPr>
          <w:rFonts w:ascii="Times New Roman" w:eastAsia="Times New Roman" w:hAnsi="Times New Roman" w:cs="Times New Roman"/>
        </w:rPr>
      </w:pPr>
    </w:p>
    <w:p w:rsidR="00253C6F" w:rsidRPr="00253C6F" w:rsidRDefault="00D71C06" w:rsidP="00253C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711-675 W. Hastings Street,</w:t>
      </w:r>
      <w:r w:rsidR="00253C6F" w:rsidRPr="00253C6F">
        <w:rPr>
          <w:rFonts w:ascii="Times New Roman" w:eastAsia="Times New Roman" w:hAnsi="Times New Roman" w:cs="Times New Roman"/>
          <w:sz w:val="20"/>
          <w:szCs w:val="20"/>
        </w:rPr>
        <w:t xml:space="preserve"> Vancouver, British Columbia </w:t>
      </w:r>
      <w:r>
        <w:rPr>
          <w:rFonts w:ascii="Times New Roman" w:eastAsia="Times New Roman" w:hAnsi="Times New Roman" w:cs="Times New Roman"/>
          <w:sz w:val="20"/>
          <w:szCs w:val="20"/>
        </w:rPr>
        <w:t>V6B 1N2</w:t>
      </w:r>
    </w:p>
    <w:p w:rsidR="007A42A1" w:rsidRPr="00266CFF" w:rsidRDefault="00253C6F" w:rsidP="00266CFF">
      <w:pPr>
        <w:spacing w:after="0" w:line="240" w:lineRule="auto"/>
        <w:jc w:val="center"/>
        <w:rPr>
          <w:rFonts w:ascii="Times New Roman" w:eastAsia="Times New Roman" w:hAnsi="Times New Roman" w:cs="Times New Roman"/>
          <w:sz w:val="24"/>
          <w:szCs w:val="24"/>
        </w:rPr>
      </w:pPr>
      <w:r w:rsidRPr="00253C6F">
        <w:rPr>
          <w:rFonts w:ascii="Times New Roman" w:eastAsia="Times New Roman" w:hAnsi="Times New Roman" w:cs="Times New Roman"/>
          <w:sz w:val="20"/>
          <w:szCs w:val="20"/>
        </w:rPr>
        <w:t xml:space="preserve">Telephone:  (604) </w:t>
      </w:r>
      <w:r w:rsidR="007828F1">
        <w:rPr>
          <w:rFonts w:ascii="Times New Roman" w:eastAsia="Times New Roman" w:hAnsi="Times New Roman" w:cs="Times New Roman"/>
          <w:sz w:val="20"/>
          <w:szCs w:val="20"/>
        </w:rPr>
        <w:t>559-0420</w:t>
      </w:r>
    </w:p>
    <w:sectPr w:rsidR="007A42A1" w:rsidRPr="00266CFF" w:rsidSect="00BC22C1">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2B" w:rsidRDefault="00EB442B" w:rsidP="00AF4291">
      <w:pPr>
        <w:spacing w:after="0" w:line="240" w:lineRule="auto"/>
      </w:pPr>
      <w:r>
        <w:separator/>
      </w:r>
    </w:p>
  </w:endnote>
  <w:endnote w:type="continuationSeparator" w:id="0">
    <w:p w:rsidR="00EB442B" w:rsidRDefault="00EB442B" w:rsidP="00AF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1C" w:rsidRDefault="00437B1C">
    <w:pPr>
      <w:pStyle w:val="Footer"/>
      <w:tabs>
        <w:tab w:val="right" w:pos="10065"/>
      </w:tabs>
      <w:jc w:val="both"/>
      <w:rPr>
        <w:rFonts w:ascii="Arial" w:hAnsi="Arial" w:cs="Arial"/>
        <w:sz w:val="18"/>
        <w:szCs w:val="18"/>
      </w:rPr>
    </w:pPr>
    <w:r>
      <w:rPr>
        <w:rFonts w:ascii="Arial" w:hAnsi="Arial" w:cs="Arial"/>
        <w:sz w:val="18"/>
        <w:szCs w:val="18"/>
      </w:rPr>
      <w:t>_____________________________________________________________________________________</w:t>
    </w:r>
  </w:p>
  <w:p w:rsidR="00437B1C" w:rsidRDefault="00437B1C">
    <w:pPr>
      <w:pStyle w:val="Footer"/>
      <w:tabs>
        <w:tab w:val="clear" w:pos="4680"/>
        <w:tab w:val="center" w:pos="4678"/>
      </w:tabs>
      <w:jc w:val="both"/>
      <w:rPr>
        <w:sz w:val="20"/>
        <w:szCs w:val="18"/>
      </w:rPr>
    </w:pPr>
    <w:r>
      <w:rPr>
        <w:sz w:val="20"/>
        <w:szCs w:val="18"/>
      </w:rPr>
      <w:t>Wildflower Marijuana Inc.</w:t>
    </w:r>
    <w:r>
      <w:rPr>
        <w:sz w:val="20"/>
        <w:szCs w:val="18"/>
      </w:rPr>
      <w:tab/>
      <w:t xml:space="preserve">Page </w:t>
    </w:r>
    <w:r>
      <w:rPr>
        <w:sz w:val="20"/>
        <w:szCs w:val="18"/>
      </w:rPr>
      <w:fldChar w:fldCharType="begin"/>
    </w:r>
    <w:r>
      <w:rPr>
        <w:sz w:val="20"/>
        <w:szCs w:val="18"/>
      </w:rPr>
      <w:instrText xml:space="preserve"> PAGE </w:instrText>
    </w:r>
    <w:r>
      <w:rPr>
        <w:sz w:val="20"/>
        <w:szCs w:val="18"/>
      </w:rPr>
      <w:fldChar w:fldCharType="separate"/>
    </w:r>
    <w:r w:rsidR="001B315E">
      <w:rPr>
        <w:noProof/>
        <w:sz w:val="20"/>
        <w:szCs w:val="18"/>
      </w:rPr>
      <w:t>13</w:t>
    </w:r>
    <w:r>
      <w:rPr>
        <w:sz w:val="20"/>
        <w:szCs w:val="18"/>
      </w:rPr>
      <w:fldChar w:fldCharType="end"/>
    </w:r>
    <w:r>
      <w:rPr>
        <w:sz w:val="20"/>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2B" w:rsidRDefault="00EB442B" w:rsidP="00AF4291">
      <w:pPr>
        <w:spacing w:after="0" w:line="240" w:lineRule="auto"/>
      </w:pPr>
      <w:r>
        <w:separator/>
      </w:r>
    </w:p>
  </w:footnote>
  <w:footnote w:type="continuationSeparator" w:id="0">
    <w:p w:rsidR="00EB442B" w:rsidRDefault="00EB442B" w:rsidP="00AF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1C" w:rsidRDefault="00437B1C" w:rsidP="00AF4291">
    <w:pPr>
      <w:tabs>
        <w:tab w:val="left" w:pos="-1440"/>
      </w:tabs>
      <w:spacing w:after="0" w:line="240" w:lineRule="auto"/>
      <w:ind w:left="3600" w:right="-360" w:hanging="3600"/>
      <w:rPr>
        <w:b/>
        <w:bCs/>
        <w:smallCaps/>
        <w:sz w:val="28"/>
        <w:szCs w:val="28"/>
      </w:rPr>
    </w:pPr>
    <w:r>
      <w:rPr>
        <w:b/>
        <w:bCs/>
        <w:smallCaps/>
        <w:sz w:val="28"/>
        <w:szCs w:val="28"/>
      </w:rPr>
      <w:t>WILDFLOWER MARIJUANA INC.,</w:t>
    </w:r>
  </w:p>
  <w:p w:rsidR="00437B1C" w:rsidRPr="00AF4291" w:rsidRDefault="00437B1C" w:rsidP="00AF4291">
    <w:pPr>
      <w:tabs>
        <w:tab w:val="left" w:pos="-1440"/>
      </w:tabs>
      <w:spacing w:after="0" w:line="240" w:lineRule="auto"/>
      <w:ind w:left="3600" w:right="-360" w:hanging="3600"/>
      <w:rPr>
        <w:bCs/>
        <w:i/>
        <w:iCs/>
        <w:smallCaps/>
        <w:sz w:val="24"/>
        <w:szCs w:val="24"/>
      </w:rPr>
    </w:pPr>
    <w:r w:rsidRPr="00AF4291">
      <w:rPr>
        <w:bCs/>
        <w:smallCaps/>
        <w:sz w:val="24"/>
        <w:szCs w:val="24"/>
      </w:rPr>
      <w:t>(FORMERLY SUNORCA DEVELOPMENT CORP.)</w:t>
    </w:r>
  </w:p>
  <w:p w:rsidR="00437B1C" w:rsidRDefault="00437B1C" w:rsidP="00AF4291">
    <w:pPr>
      <w:pStyle w:val="Header"/>
      <w:ind w:right="-360"/>
      <w:rPr>
        <w:b/>
        <w:bCs/>
        <w:smallCaps/>
      </w:rPr>
    </w:pPr>
    <w:r>
      <w:rPr>
        <w:smallCaps/>
      </w:rPr>
      <w:t>SIX MONTHS ENDED DECEMBER 31, 2015</w:t>
    </w:r>
  </w:p>
  <w:p w:rsidR="00437B1C" w:rsidRDefault="00437B1C" w:rsidP="00AF4291">
    <w:pPr>
      <w:pStyle w:val="Header"/>
      <w:pBdr>
        <w:bottom w:val="single" w:sz="18" w:space="1" w:color="auto"/>
      </w:pBdr>
      <w:tabs>
        <w:tab w:val="right" w:pos="9781"/>
      </w:tabs>
      <w:ind w:right="-360"/>
      <w:rPr>
        <w:b/>
        <w:bCs/>
        <w:smallCaps/>
      </w:rPr>
    </w:pPr>
    <w:r>
      <w:rPr>
        <w:b/>
        <w:bCs/>
        <w:szCs w:val="28"/>
      </w:rPr>
      <w:t>Management Discussion and Analysis of Financial Position and Results of Operations</w:t>
    </w:r>
    <w:r>
      <w:rPr>
        <w:b/>
        <w:bCs/>
        <w:smallCap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99"/>
    <w:multiLevelType w:val="hybridMultilevel"/>
    <w:tmpl w:val="B73E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C37AD"/>
    <w:multiLevelType w:val="hybridMultilevel"/>
    <w:tmpl w:val="213409F0"/>
    <w:lvl w:ilvl="0" w:tplc="601CA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566B2"/>
    <w:multiLevelType w:val="hybridMultilevel"/>
    <w:tmpl w:val="F6D6F35C"/>
    <w:lvl w:ilvl="0" w:tplc="1D98D2E4">
      <w:start w:val="3"/>
      <w:numFmt w:val="lowerLetter"/>
      <w:lvlText w:val="%1)"/>
      <w:lvlJc w:val="left"/>
      <w:pPr>
        <w:ind w:left="135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D4B0AC1"/>
    <w:multiLevelType w:val="hybridMultilevel"/>
    <w:tmpl w:val="A0B8515C"/>
    <w:lvl w:ilvl="0" w:tplc="601CA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2025F"/>
    <w:multiLevelType w:val="hybridMultilevel"/>
    <w:tmpl w:val="61C6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2697F"/>
    <w:multiLevelType w:val="hybridMultilevel"/>
    <w:tmpl w:val="D0B0980C"/>
    <w:lvl w:ilvl="0" w:tplc="11C2C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9606B"/>
    <w:multiLevelType w:val="hybridMultilevel"/>
    <w:tmpl w:val="5394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702F6F"/>
    <w:multiLevelType w:val="hybridMultilevel"/>
    <w:tmpl w:val="D10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6F"/>
    <w:rsid w:val="000348EA"/>
    <w:rsid w:val="00036A6F"/>
    <w:rsid w:val="000478CE"/>
    <w:rsid w:val="00055B31"/>
    <w:rsid w:val="000F04CB"/>
    <w:rsid w:val="000F338C"/>
    <w:rsid w:val="001162F0"/>
    <w:rsid w:val="00120E36"/>
    <w:rsid w:val="0013432E"/>
    <w:rsid w:val="001A1734"/>
    <w:rsid w:val="001A32DE"/>
    <w:rsid w:val="001B315E"/>
    <w:rsid w:val="001C6B58"/>
    <w:rsid w:val="001E1139"/>
    <w:rsid w:val="001E5F70"/>
    <w:rsid w:val="001F0B05"/>
    <w:rsid w:val="00201286"/>
    <w:rsid w:val="002015C9"/>
    <w:rsid w:val="0023016D"/>
    <w:rsid w:val="002360C4"/>
    <w:rsid w:val="00253C6F"/>
    <w:rsid w:val="00266CFF"/>
    <w:rsid w:val="002A7FBC"/>
    <w:rsid w:val="002E3D20"/>
    <w:rsid w:val="003338CA"/>
    <w:rsid w:val="0034140D"/>
    <w:rsid w:val="003714B6"/>
    <w:rsid w:val="003E4E95"/>
    <w:rsid w:val="003F5BD9"/>
    <w:rsid w:val="00426F88"/>
    <w:rsid w:val="00437B1C"/>
    <w:rsid w:val="00485823"/>
    <w:rsid w:val="00495ABF"/>
    <w:rsid w:val="004A7038"/>
    <w:rsid w:val="004C50A7"/>
    <w:rsid w:val="004F4DF6"/>
    <w:rsid w:val="00506BB4"/>
    <w:rsid w:val="005857D1"/>
    <w:rsid w:val="00594016"/>
    <w:rsid w:val="005C406C"/>
    <w:rsid w:val="005D5D70"/>
    <w:rsid w:val="005E4651"/>
    <w:rsid w:val="00663C49"/>
    <w:rsid w:val="0068511A"/>
    <w:rsid w:val="006A3477"/>
    <w:rsid w:val="006E14CA"/>
    <w:rsid w:val="007140FC"/>
    <w:rsid w:val="00771375"/>
    <w:rsid w:val="007828F1"/>
    <w:rsid w:val="00784A43"/>
    <w:rsid w:val="007861C9"/>
    <w:rsid w:val="00786CBB"/>
    <w:rsid w:val="007A42A1"/>
    <w:rsid w:val="007B6172"/>
    <w:rsid w:val="007C4B86"/>
    <w:rsid w:val="007D2095"/>
    <w:rsid w:val="007D3D8A"/>
    <w:rsid w:val="00802769"/>
    <w:rsid w:val="0081394E"/>
    <w:rsid w:val="008469A5"/>
    <w:rsid w:val="00854A53"/>
    <w:rsid w:val="00872198"/>
    <w:rsid w:val="008A508A"/>
    <w:rsid w:val="008F42A1"/>
    <w:rsid w:val="00932F93"/>
    <w:rsid w:val="00954D23"/>
    <w:rsid w:val="009F7D60"/>
    <w:rsid w:val="00A4254B"/>
    <w:rsid w:val="00A97740"/>
    <w:rsid w:val="00AA2709"/>
    <w:rsid w:val="00AB77D4"/>
    <w:rsid w:val="00AE6651"/>
    <w:rsid w:val="00AE7B96"/>
    <w:rsid w:val="00AF174C"/>
    <w:rsid w:val="00AF4291"/>
    <w:rsid w:val="00B47936"/>
    <w:rsid w:val="00B721BE"/>
    <w:rsid w:val="00B834BA"/>
    <w:rsid w:val="00BA7F69"/>
    <w:rsid w:val="00BC22C1"/>
    <w:rsid w:val="00BD3A91"/>
    <w:rsid w:val="00BF4291"/>
    <w:rsid w:val="00C12597"/>
    <w:rsid w:val="00C3008A"/>
    <w:rsid w:val="00C5680B"/>
    <w:rsid w:val="00C56E06"/>
    <w:rsid w:val="00C63E7B"/>
    <w:rsid w:val="00CC4AC6"/>
    <w:rsid w:val="00CE6FF9"/>
    <w:rsid w:val="00CE74A2"/>
    <w:rsid w:val="00D057AE"/>
    <w:rsid w:val="00D140F1"/>
    <w:rsid w:val="00D510E7"/>
    <w:rsid w:val="00D638D5"/>
    <w:rsid w:val="00D71C06"/>
    <w:rsid w:val="00DA55D0"/>
    <w:rsid w:val="00DC2B4C"/>
    <w:rsid w:val="00DC4B0A"/>
    <w:rsid w:val="00DE3C92"/>
    <w:rsid w:val="00DF684E"/>
    <w:rsid w:val="00E105FF"/>
    <w:rsid w:val="00E21118"/>
    <w:rsid w:val="00E62380"/>
    <w:rsid w:val="00E64F70"/>
    <w:rsid w:val="00E918A7"/>
    <w:rsid w:val="00EB442B"/>
    <w:rsid w:val="00EC3ED6"/>
    <w:rsid w:val="00EC5281"/>
    <w:rsid w:val="00ED5B7E"/>
    <w:rsid w:val="00ED753B"/>
    <w:rsid w:val="00F2365A"/>
    <w:rsid w:val="00F35CF2"/>
    <w:rsid w:val="00F45237"/>
    <w:rsid w:val="00F7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43BB6-43A6-496A-AFE9-ADB574EE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6F"/>
  </w:style>
  <w:style w:type="paragraph" w:styleId="Header">
    <w:name w:val="header"/>
    <w:basedOn w:val="Normal"/>
    <w:link w:val="HeaderChar"/>
    <w:uiPriority w:val="99"/>
    <w:unhideWhenUsed/>
    <w:rsid w:val="0025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6F"/>
  </w:style>
  <w:style w:type="character" w:styleId="Hyperlink">
    <w:name w:val="Hyperlink"/>
    <w:basedOn w:val="DefaultParagraphFont"/>
    <w:rsid w:val="000348EA"/>
    <w:rPr>
      <w:color w:val="0000FF"/>
      <w:u w:val="single"/>
    </w:rPr>
  </w:style>
  <w:style w:type="paragraph" w:customStyle="1" w:styleId="Default">
    <w:name w:val="Default"/>
    <w:rsid w:val="001A17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F0B05"/>
    <w:pPr>
      <w:ind w:left="720"/>
      <w:contextualSpacing/>
    </w:pPr>
  </w:style>
  <w:style w:type="paragraph" w:styleId="BalloonText">
    <w:name w:val="Balloon Text"/>
    <w:basedOn w:val="Normal"/>
    <w:link w:val="BalloonTextChar"/>
    <w:uiPriority w:val="99"/>
    <w:semiHidden/>
    <w:unhideWhenUsed/>
    <w:rsid w:val="00DA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D0"/>
    <w:rPr>
      <w:rFonts w:ascii="Tahoma" w:hAnsi="Tahoma" w:cs="Tahoma"/>
      <w:sz w:val="16"/>
      <w:szCs w:val="16"/>
    </w:rPr>
  </w:style>
  <w:style w:type="paragraph" w:customStyle="1" w:styleId="Indent1">
    <w:name w:val="Indent 1"/>
    <w:basedOn w:val="Normal"/>
    <w:rsid w:val="001E5F70"/>
    <w:pPr>
      <w:spacing w:after="260" w:line="260" w:lineRule="atLeast"/>
      <w:ind w:left="431"/>
    </w:pPr>
    <w:rPr>
      <w:rFonts w:ascii="Times New Roman" w:eastAsia="Times New Roman" w:hAnsi="Times New Roman" w:cs="Times New Roman"/>
    </w:rPr>
  </w:style>
  <w:style w:type="paragraph" w:styleId="NormalWeb">
    <w:name w:val="Normal (Web)"/>
    <w:basedOn w:val="Normal"/>
    <w:uiPriority w:val="99"/>
    <w:rsid w:val="00E64F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hyperlink" Target="http://www.alc.gov.bc.ca/alc/DownloadAsset?assetId=28F687FC8AB640CFB33D46FB3F1B30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5478</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Meghji</dc:creator>
  <cp:lastModifiedBy>Steve Pierce</cp:lastModifiedBy>
  <cp:revision>4</cp:revision>
  <cp:lastPrinted>2015-11-30T21:16:00Z</cp:lastPrinted>
  <dcterms:created xsi:type="dcterms:W3CDTF">2016-02-29T23:18:00Z</dcterms:created>
  <dcterms:modified xsi:type="dcterms:W3CDTF">2016-03-01T00:27:00Z</dcterms:modified>
</cp:coreProperties>
</file>